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header1.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pStyle w:val="Heading1"/>
        <w:rPr>
          <w:lang w:val="en"/>
        </w:rPr>
        <w:bidi w:val="false"/>
      </w:pPr>
      <w:r>
        <w:t xml:space="preserve">Update - April 2022</w:t>
      </w:r>
    </w:p>
    <w:p>
      <w:pPr>
        <w:pStyle w:val="Heading2"/>
        <w:rPr>
          <w:lang w:val="en"/>
        </w:rPr>
        <w:bidi w:val="false"/>
      </w:pPr>
      <w:r>
        <w:t xml:space="preserve">What's changed</w:t>
      </w:r>
    </w:p>
    <w:p>
      <w:pPr>
        <w:rPr>
          <w:lang w:val="en"/>
        </w:rPr>
        <w:bidi w:val="false"/>
      </w:pPr>
      <w:r>
        <w:t xml:space="preserve">We are pleased to issue updates to your Mercia Audit Manual (dated 04/22). The principal technical changes in these updates relate to:</w:t>
      </w:r>
    </w:p>
    <w:p>
      <w:pPr>
        <w:pStyle w:val="ListParagraph"/>
        <w:numPr>
          <w:ilvl w:val="0"/>
          <w:numId w:val="27"/>
        </w:numPr>
        <w:rPr>
          <w:lang w:val="en"/>
        </w:rPr>
        <w:bidi w:val="false"/>
      </w:pPr>
      <w:r>
        <w:t xml:space="preserve">Changes to ISA 240 </w:t>
      </w:r>
      <w:r>
        <w:rPr>
          <w:rStyle w:val="Italic"/>
        </w:rPr>
        <w:t xml:space="preserve">The auditor's responsibilities relating to fraud in an audit of financial statements</w:t>
      </w:r>
      <w:r>
        <w:t xml:space="preserve">; </w:t>
      </w:r>
    </w:p>
    <w:p>
      <w:pPr>
        <w:pStyle w:val="ListParagraph"/>
        <w:numPr>
          <w:ilvl w:val="0"/>
          <w:numId w:val="27"/>
        </w:numPr>
        <w:rPr>
          <w:lang w:val="en"/>
        </w:rPr>
        <w:bidi w:val="false"/>
      </w:pPr>
      <w:r>
        <w:t xml:space="preserve">Changes to ISA 315 </w:t>
      </w:r>
      <w:r>
        <w:rPr>
          <w:rStyle w:val="Italic"/>
        </w:rPr>
        <w:t xml:space="preserve">Identifying and assessing the risks of material misstatement; </w:t>
      </w:r>
      <w:r>
        <w:t xml:space="preserve">and</w:t>
      </w:r>
    </w:p>
    <w:p>
      <w:pPr>
        <w:pStyle w:val="ListParagraph"/>
        <w:numPr>
          <w:ilvl w:val="0"/>
          <w:numId w:val="27"/>
        </w:numPr>
        <w:rPr>
          <w:lang w:val="en"/>
        </w:rPr>
        <w:bidi w:val="false"/>
      </w:pPr>
      <w:r>
        <w:t xml:space="preserve">The introduction of the new suite of Quality Management Standards. </w:t>
      </w:r>
    </w:p>
    <w:p>
      <w:pPr>
        <w:rPr>
          <w:lang w:val="en"/>
        </w:rPr>
        <w:bidi w:val="false"/>
      </w:pPr>
      <w:r>
        <w:t xml:space="preserve">The revised ISA 240 and ISA 315 apply for accounting periods commencing on or after 15 December 2021, with early adoption permitted. The revised suite of Quality Management Standards (ISA 220, ISQM 1 and ISQM 2 are effective from 15 December 2022, with early adoption permitted). </w:t>
      </w:r>
    </w:p>
    <w:p>
      <w:pPr>
        <w:pStyle w:val="Heading3"/>
        <w:rPr>
          <w:lang w:val="en"/>
        </w:rPr>
        <w:bidi w:val="false"/>
      </w:pPr>
      <w:r>
        <w:t xml:space="preserve">Changes to ISA 240 </w:t>
      </w:r>
      <w:r>
        <w:rPr>
          <w:rStyle w:val="Italic"/>
        </w:rPr>
        <w:t xml:space="preserve">The auditor's responsibilities relating to fraud in an audit of financial statements</w:t>
      </w:r>
    </w:p>
    <w:p>
      <w:pPr>
        <w:rPr>
          <w:lang w:val="en"/>
        </w:rPr>
        <w:bidi w:val="false"/>
      </w:pPr>
      <w:r>
        <w:t xml:space="preserve">In May 2021, the FRC issued a revised ISA (UK) 240. </w:t>
      </w:r>
    </w:p>
    <w:p>
      <w:pPr>
        <w:rPr>
          <w:lang w:val="en"/>
        </w:rPr>
        <w:bidi w:val="false"/>
      </w:pPr>
      <w:r>
        <w:t xml:space="preserve">The revisions build on the earlier version of the standard, with the aim of addressing concerns that auditors are not doing enough to detect material fraud and that this may, at least in part, be due to a lack of clarity as to their obligations with respect to fraud. In addition to a greater focus on processional scepticism, the objectives of the auditor have been updated and a number of new requirements have been introduced. These have been incorporated into the methodology. </w:t>
      </w:r>
    </w:p>
    <w:p>
      <w:pPr>
        <w:rPr>
          <w:lang w:val="en"/>
        </w:rPr>
        <w:bidi w:val="false"/>
      </w:pPr>
      <w:r>
        <w:t xml:space="preserve">As part of the update, as well as revisions to existing forms, a new form at both the planning and completion stages has been added to address the revised requirements and ensure that fraud is given appropriate prominence within the methodology. </w:t>
      </w:r>
    </w:p>
    <w:p>
      <w:pPr>
        <w:rPr>
          <w:lang w:val="en"/>
        </w:rPr>
        <w:bidi w:val="false"/>
      </w:pPr>
      <w:r>
        <w:t xml:space="preserve">See below for a full list of changes to the Audit Manual. </w:t>
      </w:r>
    </w:p>
    <w:p>
      <w:pPr>
        <w:pStyle w:val="Heading3"/>
        <w:rPr>
          <w:lang w:val="en"/>
        </w:rPr>
        <w:bidi w:val="false"/>
      </w:pPr>
      <w:r>
        <w:t xml:space="preserve">Changes to ISA 315 </w:t>
      </w:r>
      <w:r>
        <w:rPr>
          <w:rStyle w:val="Italic"/>
        </w:rPr>
        <w:t xml:space="preserve">Identifying and assessing the risks of material misstatement</w:t>
      </w:r>
    </w:p>
    <w:p>
      <w:pPr>
        <w:rPr>
          <w:lang w:val="en"/>
        </w:rPr>
        <w:bidi w:val="false"/>
      </w:pPr>
      <w:r>
        <w:t xml:space="preserve">In July 2020, the FRC issued a revised ISA (UK) 315 to reflect changes made by the IAASB to the standard. </w:t>
      </w:r>
    </w:p>
    <w:p>
      <w:pPr>
        <w:rPr>
          <w:lang w:val="en"/>
        </w:rPr>
        <w:bidi w:val="false"/>
      </w:pPr>
      <w:r>
        <w:t xml:space="preserve">The revised standard is a complete overhaul of the previous version and introduces many key changes to the approach that must be followed when identifying and assessing risks of material misstatement including:</w:t>
      </w:r>
    </w:p>
    <w:p>
      <w:pPr>
        <w:pStyle w:val="ListParagraph"/>
        <w:numPr>
          <w:ilvl w:val="0"/>
          <w:numId w:val="28"/>
        </w:numPr>
        <w:rPr>
          <w:lang w:val="en"/>
        </w:rPr>
        <w:bidi w:val="false"/>
      </w:pPr>
      <w:r>
        <w:t xml:space="preserve">Restructured and revised requirements in connection with understanding the entity and it's environment, the applicable financial reporting framework and the entity's system of internal control; </w:t>
      </w:r>
    </w:p>
    <w:p>
      <w:pPr>
        <w:pStyle w:val="ListParagraph"/>
        <w:numPr>
          <w:ilvl w:val="0"/>
          <w:numId w:val="28"/>
        </w:numPr>
        <w:rPr>
          <w:lang w:val="en"/>
        </w:rPr>
        <w:bidi w:val="false"/>
      </w:pPr>
      <w:r>
        <w:t xml:space="preserve">The introduction of the concept of a spectrum of inherent risk when assessing risks of material misstatement (a concept which will be familiar from previous revisions to ISA 540 </w:t>
      </w:r>
      <w:r>
        <w:rPr>
          <w:rStyle w:val="Italic"/>
        </w:rPr>
        <w:t xml:space="preserve">Accounting estimates and related disclosures</w:t>
      </w:r>
      <w:r>
        <w:t xml:space="preserve">); </w:t>
      </w:r>
    </w:p>
    <w:p>
      <w:pPr>
        <w:pStyle w:val="ListParagraph"/>
        <w:numPr>
          <w:ilvl w:val="0"/>
          <w:numId w:val="28"/>
        </w:numPr>
        <w:rPr>
          <w:lang w:val="en"/>
        </w:rPr>
        <w:bidi w:val="false"/>
      </w:pPr>
      <w:r>
        <w:t xml:space="preserve">A requirement for separate assessment of inherent and control risk; </w:t>
      </w:r>
    </w:p>
    <w:p>
      <w:pPr>
        <w:pStyle w:val="ListParagraph"/>
        <w:numPr>
          <w:ilvl w:val="0"/>
          <w:numId w:val="28"/>
        </w:numPr>
        <w:rPr>
          <w:lang w:val="en"/>
        </w:rPr>
        <w:bidi w:val="false"/>
      </w:pPr>
      <w:r>
        <w:t xml:space="preserve">Increased focus on information technology and general IT controls; and</w:t>
      </w:r>
    </w:p>
    <w:p>
      <w:pPr>
        <w:pStyle w:val="ListParagraph"/>
        <w:numPr>
          <w:ilvl w:val="0"/>
          <w:numId w:val="28"/>
        </w:numPr>
        <w:rPr>
          <w:lang w:val="en"/>
        </w:rPr>
        <w:bidi w:val="false"/>
      </w:pPr>
      <w:r>
        <w:t xml:space="preserve">New stand-back requirements in a number of areas. </w:t>
      </w:r>
    </w:p>
    <w:p>
      <w:pPr>
        <w:rPr>
          <w:lang w:val="en"/>
        </w:rPr>
        <w:bidi w:val="false"/>
      </w:pPr>
      <w:r>
        <w:t xml:space="preserve">In order to reflect the requirements of the revised standard, the audit methodology has been revised with most planning forms having been updated or replaced, and many consequential amendments to other forms too. Most notably, the methodology now places much greater emphasis on controls (including general IT controls) and requires greater detail when identifying and assessing the risks of material misstatement at both the financial statement and assertion levels. </w:t>
      </w:r>
    </w:p>
    <w:p>
      <w:pPr>
        <w:rPr>
          <w:lang w:val="en"/>
        </w:rPr>
        <w:bidi w:val="false"/>
      </w:pPr>
      <w:r>
        <w:t xml:space="preserve">The updates to the methodology for the ISA revisions have necessitated a restructure of the planning and permanent file sections of the manual. The restructure should facilitate a better flow through these sections of the manual. See below for a mapping of old to new references. </w:t>
      </w:r>
    </w:p>
    <w:p>
      <w:pPr>
        <w:rPr>
          <w:lang w:val="en"/>
        </w:rPr>
        <w:bidi w:val="false"/>
      </w:pPr>
      <w:r>
        <w:t xml:space="preserve">The revised ISA also made a number of consequential amendments to other ISAs which have been reflected in this manual. </w:t>
      </w:r>
    </w:p>
    <w:p>
      <w:pPr>
        <w:rPr>
          <w:lang w:val="en"/>
        </w:rPr>
        <w:bidi w:val="false"/>
      </w:pPr>
      <w:r>
        <w:t xml:space="preserve">See below for a full list of changes to the Audit Manual.</w:t>
      </w:r>
    </w:p>
    <w:p>
      <w:pPr>
        <w:pStyle w:val="Heading3"/>
        <w:rPr>
          <w:lang w:val="en"/>
        </w:rPr>
        <w:bidi w:val="false"/>
      </w:pPr>
      <w:r>
        <w:t xml:space="preserve">The introduction of the new suite of Quality Management Standards. </w:t>
      </w:r>
    </w:p>
    <w:p>
      <w:pPr>
        <w:rPr>
          <w:lang w:val="en"/>
        </w:rPr>
        <w:bidi w:val="false"/>
      </w:pPr>
      <w:r>
        <w:t xml:space="preserve">In July 2021, the FRC issued a revised suite of Quality Management Standards. The suite includes:</w:t>
      </w:r>
    </w:p>
    <w:p>
      <w:pPr>
        <w:pStyle w:val="ListParagraph"/>
        <w:numPr>
          <w:ilvl w:val="0"/>
          <w:numId w:val="29"/>
        </w:numPr>
        <w:rPr>
          <w:lang w:val="en"/>
        </w:rPr>
        <w:bidi w:val="false"/>
      </w:pPr>
      <w:r>
        <w:t xml:space="preserve">ISA (UK) 220 (Revised July 2021) </w:t>
      </w:r>
      <w:r>
        <w:rPr>
          <w:rStyle w:val="Italic"/>
        </w:rPr>
        <w:t xml:space="preserve">Quality management for an audit of financial statements</w:t>
      </w:r>
      <w:r>
        <w:t xml:space="preserve">; </w:t>
      </w:r>
    </w:p>
    <w:p>
      <w:pPr>
        <w:pStyle w:val="ListParagraph"/>
        <w:numPr>
          <w:ilvl w:val="0"/>
          <w:numId w:val="29"/>
        </w:numPr>
        <w:rPr>
          <w:lang w:val="en"/>
        </w:rPr>
        <w:bidi w:val="false"/>
      </w:pPr>
      <w:r>
        <w:t xml:space="preserve">ISQM (UK) 1 </w:t>
      </w:r>
      <w:r>
        <w:rPr>
          <w:rStyle w:val="Italic"/>
        </w:rPr>
        <w:t xml:space="preserve">Quality management for firms that perform audits or reviews of financial statements, or other assurance related services engagements</w:t>
      </w:r>
      <w:r>
        <w:t xml:space="preserve">; and</w:t>
      </w:r>
    </w:p>
    <w:p>
      <w:pPr>
        <w:pStyle w:val="ListParagraph"/>
        <w:numPr>
          <w:ilvl w:val="0"/>
          <w:numId w:val="29"/>
        </w:numPr>
        <w:rPr>
          <w:lang w:val="en"/>
        </w:rPr>
        <w:bidi w:val="false"/>
      </w:pPr>
      <w:r>
        <w:t xml:space="preserve">ISQM (UK) 2 </w:t>
      </w:r>
      <w:r>
        <w:rPr>
          <w:rStyle w:val="Italic"/>
        </w:rPr>
        <w:t xml:space="preserve">Engagement quality reviews</w:t>
      </w:r>
      <w:r>
        <w:t xml:space="preserve">. </w:t>
      </w:r>
    </w:p>
    <w:p>
      <w:pPr>
        <w:rPr>
          <w:lang w:val="en"/>
        </w:rPr>
        <w:bidi w:val="false"/>
      </w:pPr>
      <w:r>
        <w:t xml:space="preserve">Updates have been made to the Audit Manual to include a new version of the preliminary engagement quality control review form, a new version of the engagement quality control review checklist and a new version of the consultation / ethics review form. From 15 December 2022 (or earlier if the firm early adopts the new quality management suite of standards) the versions denoted 'ISQM version' should be used. Before this time the versions denoted 'ISQC version' should be used. </w:t>
      </w:r>
    </w:p>
    <w:p>
      <w:pPr>
        <w:pStyle w:val="Heading3"/>
        <w:rPr>
          <w:lang w:val="en"/>
        </w:rPr>
        <w:bidi w:val="false"/>
      </w:pPr>
      <w:r>
        <w:t xml:space="preserve">What's changed in the sector?</w:t>
      </w:r>
    </w:p>
    <w:p>
      <w:pPr>
        <w:rPr>
          <w:lang w:val="en"/>
        </w:rPr>
        <w:bidi w:val="false"/>
      </w:pPr>
      <w:r>
        <w:t xml:space="preserve">There have been a number of regulatory and legislative changes, including the The Occupational and Personal Pension Schemes (Disclosure of Information) (Requirements to Refer Members to Guidance etc.) (Amendment) Regulations 2022. The guidance notes have been amended to reflect the changes made.</w:t>
      </w:r>
    </w:p>
    <w:p>
      <w:pPr>
        <w:pStyle w:val="Heading4"/>
        <w:rPr>
          <w:lang w:val="en"/>
        </w:rPr>
        <w:bidi w:val="false"/>
      </w:pPr>
      <w:r>
        <w:t xml:space="preserve">Guidance from PRAG</w:t>
      </w:r>
    </w:p>
    <w:p>
      <w:pPr>
        <w:rPr>
          <w:lang w:val="en"/>
        </w:rPr>
        <w:bidi w:val="false"/>
      </w:pPr>
      <w:r>
        <w:rPr>
          <w:rStyle w:val="Bold"/>
        </w:rPr>
        <w:t xml:space="preserve">PRAG'S 2021 ESG Working Party Guidance</w:t>
      </w:r>
    </w:p>
    <w:p>
      <w:pPr>
        <w:rPr>
          <w:lang w:val="en"/>
        </w:rPr>
        <w:bidi w:val="false"/>
      </w:pPr>
      <w:r>
        <w:t xml:space="preserve">This guidance was published in December 2021 has been produced to help preparers of annual reports navigate their way through the regulatory requirements for the new Task Force on Climate-related Financial Disclosures (TCFD) reporting requirements which came into effect from 1 October 2021 for certain schemes. Although primarily aimed at trustees, the guidance does outline the disclosure requirements within the Financial Statements and considers the resulting audit implications. The guidance notes and the accounts disclosure checklist have been amended to reflect the guidance. PRAG have stated that the guidance will be kept under review and updated as regulatory changes occur and practices develop.</w:t>
      </w:r>
    </w:p>
    <w:p>
      <w:pPr>
        <w:pStyle w:val="Heading3"/>
        <w:rPr>
          <w:lang w:val="en"/>
        </w:rPr>
        <w:bidi w:val="false"/>
      </w:pPr>
      <w:r>
        <w:t xml:space="preserve">What’s next?</w:t>
      </w:r>
    </w:p>
    <w:p>
      <w:pPr>
        <w:rPr>
          <w:lang w:val="en"/>
        </w:rPr>
        <w:bidi w:val="false"/>
      </w:pPr>
      <w:r>
        <w:t xml:space="preserve">As mentioned in our previous update, we are expecting revised guidance from PRAG in respect of accounting for derivatives. In addition, a new Code of Practice is expected to be issued next year, following consultations in 2021, details in respect of which can be found </w:t>
      </w:r>
      <w:hyperlink w:history="true" r:id="R42f09923c472479b">
        <w:r>
          <w:rPr>
            <w:rStyle w:val="Hyperlink"/>
          </w:rPr>
          <w:t xml:space="preserve">here</w:t>
        </w:r>
      </w:hyperlink>
      <w:r>
        <w:t xml:space="preserve">.</w:t>
      </w:r>
    </w:p>
    <w:p>
      <w:pPr>
        <w:pStyle w:val="Heading2"/>
        <w:rPr>
          <w:lang w:val="en"/>
        </w:rPr>
        <w:bidi w:val="false"/>
      </w:pPr>
      <w:r>
        <w:t xml:space="preserve">Contact us </w:t>
      </w:r>
    </w:p>
    <w:p>
      <w:pPr>
        <w:rPr>
          <w:lang w:val="en"/>
        </w:rPr>
        <w:bidi w:val="false"/>
      </w:pPr>
      <w:r>
        <w:t xml:space="preserve">We are always pleased to receive feedback on our manuals, including any improvements that you would like to see incorporated. Please contact me if you have any comments to make.</w:t>
      </w:r>
    </w:p>
    <w:p>
      <w:pPr>
        <w:rPr>
          <w:lang w:val="en"/>
        </w:rPr>
        <w:bidi w:val="false"/>
      </w:pPr>
      <w:r>
        <w:t xml:space="preserve">Andy Holton</w:t>
      </w:r>
    </w:p>
    <w:p>
      <w:pPr>
        <w:rPr>
          <w:lang w:val="en"/>
        </w:rPr>
        <w:bidi w:val="false"/>
      </w:pPr>
      <w:r>
        <w:t xml:space="preserve">April 2022</w:t>
      </w:r>
    </w:p>
    <w:p>
      <w:pPr>
        <w:pStyle w:val="Heading2"/>
        <w:rPr>
          <w:lang w:val="en"/>
        </w:rPr>
        <w:bidi w:val="false"/>
      </w:pPr>
      <w:r>
        <w:t xml:space="preserve">April 2022 - Detailed list of changes</w:t>
      </w:r>
    </w:p>
    <w:p>
      <w:pPr>
        <w:rPr>
          <w:lang w:val="en"/>
        </w:rPr>
        <w:bidi w:val="false"/>
      </w:pPr>
      <w:r>
        <w:t xml:space="preserve">The below table provides a detailed list of changes within the manual. In addition to the items listed below, cross-references to other forms have been updated where appropriate, and minor changes have been made for formatting, grammar, consistency of naming (within group sections) and other editorial amendments. Any content which was relevant for periods commencing prior to 15 December 2019 has been removed.</w:t>
      </w:r>
    </w:p>
    <w:tbl>
      <w:tblPr>
        <w:tblStyle w:val="TableGrid"/>
        <w:tblW w:w="4908.91" w:type="pct"/>
        <w:tblBorders>
          <w:top w:val="none"/>
          <w:left w:val="none"/>
          <w:bottom w:val="none"/>
          <w:right w:val="none"/>
          <w:insideH w:val="none"/>
          <w:insideV w:val="none"/>
        </w:tblBorders>
      </w:tblPr>
      <w:tblGrid>
        <w:gridCol/>
        <w:gridCol/>
      </w:tblGrid>
      <w:tr>
        <w:trPr>
          <w:trHeight w:val="300" w:hRule="atLeast"/>
        </w:trPr>
        <w:trHeight w:val="300" w:hRule="atLeast"/>
        <w:tc>
          <w:tcPr>
            <w:tcW w:w="1802.88" w:type="pct"/>
            <w:vAlign w:val="center"/>
            <w:shd w:val="clear" w:color="auto" w:fill="E9E9E9"/>
          </w:tcPr>
          <w:p>
            <w:r>
              <w:rPr>
                <w:shd w:val="clear" w:fill="E9E9E9"/>
              </w:rPr>
              <w:t xml:space="preserve">Updated area</w:t>
            </w:r>
          </w:p>
        </w:tc>
        <w:trHeight w:val="300" w:hRule="atLeast"/>
        <w:tc>
          <w:tcPr>
            <w:tcW w:w="3194.36" w:type="pct"/>
            <w:vAlign w:val="center"/>
            <w:shd w:val="clear" w:color="auto" w:fill="E9E9E9"/>
          </w:tcPr>
          <w:p>
            <w:r>
              <w:rPr>
                <w:shd w:val="clear" w:fill="E9E9E9"/>
              </w:rPr>
              <w:t xml:space="preserve">Main reason for change</w:t>
            </w:r>
          </w:p>
        </w:tc>
      </w:tr>
      <w:tr>
        <w:trPr>
          <w:trHeight w:val="615" w:hRule="atLeast"/>
        </w:trPr>
        <w:trHeight w:val="615" w:hRule="atLeast"/>
        <w:tc>
          <w:tcPr>
            <w:tcW w:w="1802.88" w:type="pct"/>
            <w:vAlign w:val="top"/>
          </w:tcPr>
          <w:p>
            <w:r>
              <w:rPr>
                <w:rStyle w:val="Bold"/>
              </w:rPr>
              <w:t xml:space="preserve">Guidance</w:t>
            </w:r>
          </w:p>
        </w:tc>
        <w:trHeight w:val="615" w:hRule="atLeast"/>
        <w:tc>
          <w:tcPr>
            <w:tcW w:w="3194.36" w:type="pct"/>
            <w:vAlign w:val="top"/>
          </w:tcPr>
          <w:p>
            <w:r>
              <w:t xml:space="preserve"> </w:t>
            </w:r>
          </w:p>
        </w:tc>
      </w:tr>
      <w:tr>
        <w:trPr>
          <w:trHeight w:val="615" w:hRule="atLeast"/>
        </w:trPr>
        <w:trHeight w:val="615" w:hRule="atLeast"/>
        <w:tc>
          <w:tcPr>
            <w:tcW w:w="1802.88" w:type="pct"/>
            <w:tcMar>
              <w:left w:w="450" w:type="dxa"/>
            </w:tcMar>
            <w:vAlign w:val="top"/>
          </w:tcPr>
          <w:p>
            <w:r>
              <w:t xml:space="preserve">Contents &amp; guidance notes</w:t>
            </w:r>
          </w:p>
        </w:tc>
        <w:trHeight w:val="615" w:hRule="atLeast"/>
        <w:tc>
          <w:tcPr>
            <w:tcW w:w="3194.36" w:type="pct"/>
            <w:vAlign w:val="top"/>
          </w:tcPr>
          <w:p>
            <w:pPr>
              <w:pStyle w:val="ListParagraph"/>
              <w:numPr>
                <w:ilvl w:val="0"/>
                <w:numId w:val="30"/>
              </w:numPr>
              <w:rPr>
                <w:lang w:val="en"/>
              </w:rPr>
              <w:bidi w:val="false"/>
            </w:pPr>
            <w:r>
              <w:t xml:space="preserve">Contents page and guidance notes updated for the changes made in this update and in respect of the legislative changes and </w:t>
            </w:r>
            <w:r>
              <w:t xml:space="preserve">new Task Force on Climate-related Financial Disclosures reporting requirements</w:t>
            </w:r>
            <w:r>
              <w:t xml:space="preserve">.</w:t>
            </w:r>
          </w:p>
        </w:tc>
      </w:tr>
      <w:tr>
        <w:tc>
          <w:tcPr>
            <w:tcW w:w="1802.88" w:type="pct"/>
            <w:tcMar>
              <w:left w:w="450" w:type="dxa"/>
            </w:tcMar>
            <w:vAlign w:val="top"/>
          </w:tcPr>
          <w:p>
            <w:r>
              <w:t xml:space="preserve">Getting started for new manual users</w:t>
            </w:r>
          </w:p>
        </w:tc>
        <w:tc>
          <w:tcPr>
            <w:tcW w:w="3194.36" w:type="pct"/>
            <w:vAlign w:val="top"/>
          </w:tcPr>
          <w:p>
            <w:pPr>
              <w:pStyle w:val="ListParagraph"/>
              <w:numPr>
                <w:ilvl w:val="0"/>
                <w:numId w:val="31"/>
              </w:numPr>
              <w:rPr>
                <w:lang w:val="en"/>
              </w:rPr>
              <w:bidi w:val="false"/>
            </w:pPr>
            <w:r>
              <w:t xml:space="preserve">Getting started guidance updated for the changes made in this update.</w:t>
            </w:r>
          </w:p>
        </w:tc>
      </w:tr>
      <w:tr>
        <w:trPr>
          <w:trHeight w:val="615" w:hRule="atLeast"/>
        </w:trPr>
        <w:trHeight w:val="615" w:hRule="atLeast"/>
        <w:tc>
          <w:tcPr>
            <w:tcW w:w="1802.88" w:type="pct"/>
            <w:tcMar>
              <w:left w:w="450" w:type="dxa"/>
            </w:tcMar>
            <w:vAlign w:val="top"/>
          </w:tcPr>
          <w:p>
            <w:r>
              <w:t xml:space="preserve">What’s changed</w:t>
            </w:r>
          </w:p>
        </w:tc>
        <w:trHeight w:val="615" w:hRule="atLeast"/>
        <w:tc>
          <w:tcPr>
            <w:tcW w:w="3194.36" w:type="pct"/>
            <w:vAlign w:val="top"/>
          </w:tcPr>
          <w:p>
            <w:pPr>
              <w:pStyle w:val="ListParagraph"/>
              <w:numPr>
                <w:ilvl w:val="0"/>
                <w:numId w:val="32"/>
              </w:numPr>
              <w:rPr>
                <w:lang w:val="en"/>
              </w:rPr>
              <w:bidi w:val="false"/>
            </w:pPr>
            <w:r>
              <w:t xml:space="preserve">A copy of this What's changed notice has been added to the manual.</w:t>
            </w:r>
          </w:p>
        </w:tc>
      </w:tr>
      <w:tr>
        <w:tc>
          <w:tcPr>
            <w:tcW w:w="1802.88" w:type="pct"/>
            <w:tcMar>
              <w:left w:w="450" w:type="dxa"/>
            </w:tcMar>
            <w:vAlign w:val="top"/>
          </w:tcPr>
          <w:p>
            <w:r>
              <w:t xml:space="preserve">File review checklists</w:t>
            </w:r>
          </w:p>
        </w:tc>
        <w:tc>
          <w:tcPr>
            <w:tcW w:w="3194.36" w:type="pct"/>
            <w:vAlign w:val="top"/>
          </w:tcPr>
          <w:p>
            <w:pPr>
              <w:pStyle w:val="ListParagraph"/>
              <w:numPr>
                <w:ilvl w:val="0"/>
                <w:numId w:val="33"/>
              </w:numPr>
              <w:rPr>
                <w:lang w:val="en"/>
              </w:rPr>
              <w:bidi w:val="false"/>
            </w:pPr>
            <w:r>
              <w:t xml:space="preserve">Moved into a new format.</w:t>
            </w:r>
          </w:p>
          <w:p>
            <w:pPr>
              <w:pStyle w:val="ListParagraph"/>
              <w:numPr>
                <w:ilvl w:val="0"/>
                <w:numId w:val="33"/>
              </w:numPr>
              <w:rPr>
                <w:lang w:val="en"/>
              </w:rPr>
              <w:bidi w:val="false"/>
            </w:pPr>
            <w:r>
              <w:t xml:space="preserve">A new version for p/c on or after 15 December 2021 added.</w:t>
            </w:r>
          </w:p>
        </w:tc>
      </w:tr>
      <w:tr>
        <w:trPr>
          <w:trHeight w:val="300" w:hRule="atLeast"/>
        </w:trPr>
        <w:trHeight w:val="300" w:hRule="atLeast"/>
        <w:tc>
          <w:tcPr>
            <w:tcW w:w="1802.88" w:type="pct"/>
            <w:vAlign w:val="top"/>
          </w:tcPr>
          <w:p>
            <w:r>
              <w:rPr>
                <w:rStyle w:val="Bold"/>
              </w:rPr>
              <w:t xml:space="preserve">Example letters</w:t>
            </w:r>
          </w:p>
        </w:tc>
        <w:trHeight w:val="300" w:hRule="atLeast"/>
        <w:tc>
          <w:tcPr>
            <w:tcW w:w="3194.36" w:type="pct"/>
            <w:vAlign w:val="top"/>
          </w:tcPr>
          <w:p>
            <w:r>
              <w:t xml:space="preserve"> </w:t>
            </w:r>
          </w:p>
        </w:tc>
      </w:tr>
      <w:tr>
        <w:tc>
          <w:tcPr>
            <w:tcW w:w="1802.88" w:type="pct"/>
            <w:tcMar>
              <w:left w:w="450" w:type="dxa"/>
            </w:tcMar>
            <w:vAlign w:val="top"/>
          </w:tcPr>
          <w:p>
            <w:r>
              <w:t xml:space="preserve">4 Engagement - terms of business</w:t>
            </w:r>
          </w:p>
        </w:tc>
        <w:tc>
          <w:tcPr>
            <w:tcW w:w="3194.36" w:type="pct"/>
            <w:vAlign w:val="top"/>
          </w:tcPr>
          <w:p>
            <w:pPr>
              <w:pStyle w:val="ListParagraph"/>
              <w:numPr>
                <w:ilvl w:val="0"/>
                <w:numId w:val="34"/>
              </w:numPr>
              <w:rPr>
                <w:lang w:val="en"/>
              </w:rPr>
              <w:bidi w:val="false"/>
            </w:pPr>
            <w:r>
              <w:t xml:space="preserve">Minor change to reflect ICAEW Code of Ethics requirements in respect of commissions.</w:t>
            </w:r>
          </w:p>
        </w:tc>
      </w:tr>
      <w:tr>
        <w:trPr>
          <w:trHeight w:val="630" w:hRule="atLeast"/>
        </w:trPr>
        <w:trHeight w:val="630" w:hRule="atLeast"/>
        <w:tc>
          <w:tcPr>
            <w:tcW w:w="1802.88" w:type="pct"/>
            <w:tcMar>
              <w:left w:w="450" w:type="dxa"/>
            </w:tcMar>
            <w:vAlign w:val="top"/>
          </w:tcPr>
          <w:p>
            <w:r>
              <w:t xml:space="preserve">5A Letter of representation (p/c on or after 15 Dec 21)</w:t>
            </w:r>
          </w:p>
        </w:tc>
        <w:trHeight w:val="630" w:hRule="atLeast"/>
        <w:tc>
          <w:tcPr>
            <w:tcW w:w="3194.36" w:type="pct"/>
            <w:vAlign w:val="top"/>
          </w:tcPr>
          <w:p>
            <w:pPr>
              <w:pStyle w:val="ListParagraph"/>
              <w:numPr>
                <w:ilvl w:val="0"/>
                <w:numId w:val="35"/>
              </w:numPr>
              <w:rPr>
                <w:lang w:val="en"/>
              </w:rPr>
              <w:bidi w:val="false"/>
            </w:pPr>
            <w:r>
              <w:t xml:space="preserve">Minor change to reflect revised requirements of ISA 240 in connection with written representations. </w:t>
            </w:r>
          </w:p>
          <w:p>
            <w:pPr>
              <w:pStyle w:val="ListParagraph"/>
              <w:numPr>
                <w:ilvl w:val="0"/>
                <w:numId w:val="35"/>
              </w:numPr>
              <w:rPr>
                <w:lang w:val="en"/>
              </w:rPr>
              <w:bidi w:val="false"/>
            </w:pPr>
            <w:r>
              <w:t xml:space="preserve">Minor amendments to reflect this version is for periods commencing on or after 15 December 2021. </w:t>
            </w:r>
          </w:p>
        </w:tc>
      </w:tr>
      <w:tr>
        <w:tc>
          <w:tcPr>
            <w:tcW w:w="1802.88" w:type="pct"/>
            <w:vAlign w:val="top"/>
          </w:tcPr>
          <w:p>
            <w:r>
              <w:rPr>
                <w:rStyle w:val="Bold"/>
              </w:rPr>
              <w:t xml:space="preserve">Example accounts</w:t>
            </w:r>
          </w:p>
        </w:tc>
        <w:tc>
          <w:tcPr>
            <w:tcW w:w="3194.36" w:type="pct"/>
            <w:vAlign w:val="top"/>
          </w:tcPr>
          <w:p>
            <w:r>
              <w:t xml:space="preserve"> </w:t>
            </w:r>
          </w:p>
        </w:tc>
      </w:tr>
      <w:tr>
        <w:tc>
          <w:tcPr>
            <w:tcW w:w="1802.88" w:type="pct"/>
            <w:tcMar>
              <w:left w:w="450" w:type="dxa"/>
            </w:tcMar>
            <w:vAlign w:val="top"/>
          </w:tcPr>
          <w:p>
            <w:r>
              <w:t xml:space="preserve">All example accounts</w:t>
            </w:r>
          </w:p>
        </w:tc>
        <w:tc>
          <w:tcPr>
            <w:tcW w:w="3194.36" w:type="pct"/>
            <w:vAlign w:val="top"/>
          </w:tcPr>
          <w:p>
            <w:pPr>
              <w:pStyle w:val="ListParagraph"/>
              <w:numPr>
                <w:ilvl w:val="0"/>
                <w:numId w:val="36"/>
              </w:numPr>
              <w:rPr>
                <w:lang w:val="en"/>
              </w:rPr>
              <w:bidi w:val="false"/>
            </w:pPr>
            <w:r>
              <w:t xml:space="preserve">Minor updates for consistency, removal of dates which are no longer relevant and recent changes to reporting requirements. </w:t>
            </w:r>
          </w:p>
        </w:tc>
      </w:tr>
      <w:tr>
        <w:tc>
          <w:tcPr>
            <w:tcW w:w="1802.88" w:type="pct"/>
            <w:vAlign w:val="top"/>
          </w:tcPr>
          <w:p>
            <w:r>
              <w:rPr>
                <w:rStyle w:val="Bold"/>
              </w:rPr>
              <w:t xml:space="preserve">Accounts disclosure checklists</w:t>
            </w:r>
          </w:p>
        </w:tc>
        <w:tc>
          <w:tcPr>
            <w:tcW w:w="3194.36" w:type="pct"/>
            <w:vAlign w:val="top"/>
          </w:tcPr>
          <w:p>
            <w:r>
              <w:t xml:space="preserve"> </w:t>
            </w:r>
          </w:p>
        </w:tc>
      </w:tr>
      <w:tr>
        <w:tc>
          <w:tcPr>
            <w:tcW w:w="1802.88" w:type="pct"/>
            <w:tcMar>
              <w:left w:w="450" w:type="dxa"/>
            </w:tcMar>
            <w:vAlign w:val="top"/>
          </w:tcPr>
          <w:p>
            <w:r>
              <w:t xml:space="preserve">A32 Pension Schemes Annual Report Checklist</w:t>
            </w:r>
          </w:p>
        </w:tc>
        <w:tc>
          <w:tcPr>
            <w:tcW w:w="3194.36" w:type="pct"/>
            <w:vAlign w:val="top"/>
          </w:tcPr>
          <w:p>
            <w:pPr>
              <w:pStyle w:val="ListParagraph"/>
              <w:numPr>
                <w:ilvl w:val="0"/>
                <w:numId w:val="37"/>
              </w:numPr>
              <w:rPr>
                <w:lang w:val="en"/>
              </w:rPr>
              <w:bidi w:val="false"/>
            </w:pPr>
            <w:r>
              <w:t xml:space="preserve">Updated for the new Task Force on Climate-related Financial Disclosures reporting requirements.</w:t>
            </w:r>
          </w:p>
        </w:tc>
      </w:tr>
      <w:tr>
        <w:trPr>
          <w:trHeight w:val="300" w:hRule="atLeast"/>
        </w:trPr>
        <w:trHeight w:val="300" w:hRule="atLeast"/>
        <w:tc>
          <w:tcPr>
            <w:tcW w:w="1802.88" w:type="pct"/>
            <w:vAlign w:val="top"/>
          </w:tcPr>
          <w:p>
            <w:r>
              <w:rPr>
                <w:rStyle w:val="Bold"/>
              </w:rPr>
              <w:t xml:space="preserve">Current file: Current file indices (p/c on or after 15 Dec 2021)</w:t>
            </w:r>
          </w:p>
        </w:tc>
        <w:trHeight w:val="300" w:hRule="atLeast"/>
        <w:tc>
          <w:tcPr>
            <w:tcW w:w="3194.36" w:type="pct"/>
            <w:vAlign w:val="top"/>
          </w:tcPr>
          <w:p>
            <w:r>
              <w:t xml:space="preserve"> </w:t>
            </w:r>
          </w:p>
        </w:tc>
      </w:tr>
      <w:tr>
        <w:trPr>
          <w:trHeight w:val="630" w:hRule="atLeast"/>
        </w:trPr>
        <w:trHeight w:val="630" w:hRule="atLeast"/>
        <w:tc>
          <w:tcPr>
            <w:tcW w:w="1802.88" w:type="pct"/>
            <w:tcMar>
              <w:left w:w="450" w:type="dxa"/>
            </w:tcMar>
            <w:vAlign w:val="top"/>
          </w:tcPr>
          <w:p>
            <w:r>
              <w:t xml:space="preserve">Current file indices</w:t>
            </w:r>
          </w:p>
        </w:tc>
        <w:trHeight w:val="630" w:hRule="atLeast"/>
        <w:tc>
          <w:tcPr>
            <w:tcW w:w="3194.36" w:type="pct"/>
            <w:vAlign w:val="top"/>
          </w:tcPr>
          <w:p>
            <w:pPr>
              <w:pStyle w:val="ListParagraph"/>
              <w:numPr>
                <w:ilvl w:val="0"/>
                <w:numId w:val="38"/>
              </w:numPr>
              <w:rPr>
                <w:lang w:val="en"/>
              </w:rPr>
              <w:bidi w:val="false"/>
            </w:pPr>
            <w:r>
              <w:t xml:space="preserve">Moved to start of current file. </w:t>
            </w:r>
          </w:p>
          <w:p>
            <w:pPr>
              <w:pStyle w:val="ListParagraph"/>
              <w:numPr>
                <w:ilvl w:val="0"/>
                <w:numId w:val="38"/>
              </w:numPr>
              <w:rPr>
                <w:lang w:val="en"/>
              </w:rPr>
              <w:bidi w:val="false"/>
            </w:pPr>
            <w:r>
              <w:t xml:space="preserve">Updated to reflect revised file structures.</w:t>
            </w:r>
          </w:p>
        </w:tc>
      </w:tr>
      <w:tr>
        <w:trPr>
          <w:trHeight w:val="615" w:hRule="atLeast"/>
        </w:trPr>
        <w:trHeight w:val="615" w:hRule="atLeast"/>
        <w:tc>
          <w:tcPr>
            <w:tcW w:w="1802.88" w:type="pct"/>
            <w:vAlign w:val="top"/>
          </w:tcPr>
          <w:p>
            <w:r>
              <w:rPr>
                <w:rStyle w:val="Bold"/>
              </w:rPr>
              <w:t xml:space="preserve">Current file: Completion (p/c on or after 15 Dec 2021)</w:t>
            </w:r>
          </w:p>
        </w:tc>
        <w:trHeight w:val="615" w:hRule="atLeast"/>
        <w:tc>
          <w:tcPr>
            <w:tcW w:w="3194.36" w:type="pct"/>
            <w:vAlign w:val="top"/>
          </w:tcPr>
          <w:p>
            <w:pPr>
              <w:rPr>
                <w:lang w:val="en"/>
              </w:rPr>
              <w:bidi w:val="false"/>
            </w:pPr>
            <w:r>
              <w:t xml:space="preserve"> </w:t>
            </w:r>
          </w:p>
        </w:tc>
      </w:tr>
      <w:tr>
        <w:trPr>
          <w:trHeight w:val="150" w:hRule="atLeast"/>
        </w:trPr>
        <w:trHeight w:val="150" w:hRule="atLeast"/>
        <w:tc>
          <w:tcPr>
            <w:tcW w:w="1802.88" w:type="pct"/>
            <w:tcMar>
              <w:left w:w="450" w:type="dxa"/>
            </w:tcMar>
            <w:vAlign w:val="top"/>
          </w:tcPr>
          <w:p>
            <w:r>
              <w:t xml:space="preserve">A21-1 Responsible individual review and conclusion</w:t>
            </w:r>
          </w:p>
        </w:tc>
        <w:trHeight w:val="150" w:hRule="atLeast"/>
        <w:tc>
          <w:tcPr>
            <w:tcW w:w="3194.36" w:type="pct"/>
            <w:vAlign w:val="top"/>
          </w:tcPr>
          <w:p>
            <w:pPr>
              <w:pStyle w:val="ListParagraph"/>
              <w:numPr>
                <w:ilvl w:val="0"/>
                <w:numId w:val="39"/>
              </w:numPr>
              <w:rPr>
                <w:lang w:val="en"/>
              </w:rPr>
              <w:bidi w:val="false"/>
            </w:pPr>
            <w:r>
              <w:t xml:space="preserve">Update to footnote. </w:t>
            </w:r>
          </w:p>
        </w:tc>
      </w:tr>
      <w:tr>
        <w:tc>
          <w:tcPr>
            <w:tcW w:w="1802.88" w:type="pct"/>
            <w:tcMar>
              <w:left w:w="450" w:type="dxa"/>
            </w:tcMar>
            <w:vAlign w:val="top"/>
          </w:tcPr>
          <w:p>
            <w:r>
              <w:t xml:space="preserve">A21-2 Engagement quality control checklist (ISQC version)</w:t>
            </w:r>
          </w:p>
        </w:tc>
        <w:tc>
          <w:tcPr>
            <w:tcW w:w="3194.36" w:type="pct"/>
            <w:vAlign w:val="top"/>
          </w:tcPr>
          <w:p>
            <w:pPr>
              <w:pStyle w:val="ListParagraph"/>
              <w:numPr>
                <w:ilvl w:val="0"/>
                <w:numId w:val="40"/>
              </w:numPr>
              <w:rPr>
                <w:lang w:val="en"/>
              </w:rPr>
              <w:bidi w:val="false"/>
            </w:pPr>
            <w:r>
              <w:t xml:space="preserve">Renamed to highlight this version of the form applies before the new quality management standards are adopted. </w:t>
            </w:r>
          </w:p>
        </w:tc>
      </w:tr>
      <w:tr>
        <w:tc>
          <w:tcPr>
            <w:tcW w:w="1802.88" w:type="pct"/>
            <w:tcMar>
              <w:left w:w="450" w:type="dxa"/>
            </w:tcMar>
            <w:vAlign w:val="top"/>
          </w:tcPr>
          <w:p>
            <w:r>
              <w:t xml:space="preserve">A21-2 Engagement quality checklist (ISQM version)</w:t>
            </w:r>
          </w:p>
        </w:tc>
        <w:tc>
          <w:tcPr>
            <w:tcW w:w="3194.36" w:type="pct"/>
            <w:vAlign w:val="top"/>
          </w:tcPr>
          <w:p>
            <w:pPr>
              <w:pStyle w:val="ListParagraph"/>
              <w:numPr>
                <w:ilvl w:val="0"/>
                <w:numId w:val="41"/>
              </w:numPr>
              <w:rPr>
                <w:lang w:val="en"/>
              </w:rPr>
              <w:bidi w:val="false"/>
            </w:pPr>
            <w:r>
              <w:t xml:space="preserve">A new version of the form applicable when the new quality management standards are adopted. </w:t>
            </w:r>
          </w:p>
        </w:tc>
      </w:tr>
      <w:tr>
        <w:trPr>
          <w:trHeight w:val="150" w:hRule="atLeast"/>
        </w:trPr>
        <w:trHeight w:val="150" w:hRule="atLeast"/>
        <w:tc>
          <w:tcPr>
            <w:tcW w:w="1802.88" w:type="pct"/>
            <w:tcMar>
              <w:left w:w="450" w:type="dxa"/>
            </w:tcMar>
            <w:vAlign w:val="top"/>
          </w:tcPr>
          <w:p>
            <w:r>
              <w:t xml:space="preserve">A21-3 Consultation / ethics review (ISQC version)</w:t>
            </w:r>
          </w:p>
        </w:tc>
        <w:trHeight w:val="150" w:hRule="atLeast"/>
        <w:tc>
          <w:tcPr>
            <w:tcW w:w="3194.36" w:type="pct"/>
            <w:vAlign w:val="top"/>
          </w:tcPr>
          <w:p>
            <w:pPr>
              <w:pStyle w:val="ListParagraph"/>
              <w:numPr>
                <w:ilvl w:val="0"/>
                <w:numId w:val="42"/>
              </w:numPr>
              <w:rPr>
                <w:lang w:val="en"/>
              </w:rPr>
              <w:bidi w:val="false"/>
            </w:pPr>
            <w:r>
              <w:t xml:space="preserve">Renamed to highlight this version of the form applies before the new quality management standards are adopted. </w:t>
            </w:r>
          </w:p>
        </w:tc>
      </w:tr>
      <w:tr>
        <w:tc>
          <w:tcPr>
            <w:tcW w:w="1802.88" w:type="pct"/>
            <w:tcMar>
              <w:left w:w="450" w:type="dxa"/>
            </w:tcMar>
            <w:vAlign w:val="top"/>
          </w:tcPr>
          <w:p>
            <w:r>
              <w:t xml:space="preserve">A21-3 Consultation review (ISQM version)</w:t>
            </w:r>
          </w:p>
        </w:tc>
        <w:tc>
          <w:tcPr>
            <w:tcW w:w="3194.36" w:type="pct"/>
            <w:vAlign w:val="top"/>
          </w:tcPr>
          <w:p>
            <w:pPr>
              <w:pStyle w:val="ListParagraph"/>
              <w:numPr>
                <w:ilvl w:val="0"/>
                <w:numId w:val="43"/>
              </w:numPr>
              <w:rPr>
                <w:lang w:val="en"/>
              </w:rPr>
              <w:bidi w:val="false"/>
            </w:pPr>
            <w:r>
              <w:t xml:space="preserve">A new version of the form applicable when the new quality management standards are adopted. </w:t>
            </w:r>
          </w:p>
        </w:tc>
      </w:tr>
      <w:tr>
        <w:trPr>
          <w:trHeight w:val="615" w:hRule="atLeast"/>
        </w:trPr>
        <w:trHeight w:val="615" w:hRule="atLeast"/>
        <w:tc>
          <w:tcPr>
            <w:tcW w:w="1802.88" w:type="pct"/>
            <w:tcMar>
              <w:left w:w="450" w:type="dxa"/>
            </w:tcMar>
            <w:vAlign w:val="top"/>
          </w:tcPr>
          <w:p>
            <w:r>
              <w:t xml:space="preserve">A25 Audit summary memorandum</w:t>
            </w:r>
          </w:p>
        </w:tc>
        <w:trHeight w:val="615" w:hRule="atLeast"/>
        <w:tc>
          <w:tcPr>
            <w:tcW w:w="3194.36" w:type="pct"/>
            <w:vAlign w:val="top"/>
          </w:tcPr>
          <w:p>
            <w:pPr>
              <w:pStyle w:val="ListParagraph"/>
              <w:numPr>
                <w:ilvl w:val="0"/>
                <w:numId w:val="44"/>
              </w:numPr>
              <w:rPr>
                <w:lang w:val="en"/>
              </w:rPr>
              <w:bidi w:val="false"/>
            </w:pPr>
            <w:r>
              <w:t xml:space="preserve">Additional section added for key points and work performed over opening balances and consistency of accounting policies as part of best practice amendments. </w:t>
            </w:r>
          </w:p>
        </w:tc>
      </w:tr>
      <w:tr>
        <w:trPr>
          <w:trHeight w:val="150" w:hRule="atLeast"/>
        </w:trPr>
        <w:trHeight w:val="345" w:hRule="atLeast"/>
        <w:tc>
          <w:tcPr>
            <w:tcW w:w="1802.88" w:type="pct"/>
            <w:tcMar>
              <w:left w:w="450" w:type="dxa"/>
            </w:tcMar>
            <w:vAlign w:val="top"/>
          </w:tcPr>
          <w:p>
            <w:r>
              <w:t xml:space="preserve">A27 Summary of misstatements</w:t>
            </w:r>
          </w:p>
        </w:tc>
        <w:trHeight w:val="345" w:hRule="atLeast"/>
        <w:tc>
          <w:tcPr>
            <w:tcW w:w="3194.36" w:type="pct"/>
            <w:vAlign w:val="top"/>
          </w:tcPr>
          <w:p>
            <w:pPr>
              <w:pStyle w:val="ListParagraph"/>
              <w:numPr>
                <w:ilvl w:val="0"/>
                <w:numId w:val="45"/>
              </w:numPr>
              <w:rPr>
                <w:lang w:val="en"/>
              </w:rPr>
              <w:bidi w:val="false"/>
            </w:pPr>
            <w:r>
              <w:t xml:space="preserve">Minor amendments to footnotes for clarity and consequential changes as a result of amendments for ISA 240. </w:t>
            </w:r>
          </w:p>
        </w:tc>
      </w:tr>
      <w:tr>
        <w:trPr>
          <w:trHeight w:val="150" w:hRule="atLeast"/>
        </w:trPr>
        <w:trHeight w:val="690" w:hRule="atLeast"/>
        <w:tc>
          <w:tcPr>
            <w:tcW w:w="1802.88" w:type="pct"/>
            <w:tcMar>
              <w:left w:w="450" w:type="dxa"/>
            </w:tcMar>
            <w:vAlign w:val="top"/>
          </w:tcPr>
          <w:p>
            <w:r>
              <w:t xml:space="preserve">A29 Reporting on irregularities, including fraud in the auditor's report</w:t>
            </w:r>
          </w:p>
        </w:tc>
        <w:trHeight w:val="690" w:hRule="atLeast"/>
        <w:tc>
          <w:tcPr>
            <w:tcW w:w="3194.36" w:type="pct"/>
            <w:vAlign w:val="top"/>
          </w:tcPr>
          <w:p>
            <w:pPr>
              <w:pStyle w:val="ListParagraph"/>
              <w:numPr>
                <w:ilvl w:val="0"/>
                <w:numId w:val="46"/>
              </w:numPr>
              <w:rPr>
                <w:lang w:val="en"/>
              </w:rPr>
              <w:bidi w:val="false"/>
            </w:pPr>
            <w:r>
              <w:t xml:space="preserve">Additional comment in guidance notes as a result of a consequential amendment made to ISA 700 by the revised ISA 315. </w:t>
            </w:r>
          </w:p>
        </w:tc>
      </w:tr>
      <w:tr>
        <w:trPr>
          <w:trHeight w:val="615" w:hRule="atLeast"/>
        </w:trPr>
        <w:trHeight w:val="615" w:hRule="atLeast"/>
        <w:tc>
          <w:tcPr>
            <w:tcW w:w="1802.88" w:type="pct"/>
            <w:tcMar>
              <w:left w:w="450" w:type="dxa"/>
            </w:tcMar>
            <w:vAlign w:val="top"/>
          </w:tcPr>
          <w:p>
            <w:r>
              <w:t xml:space="preserve">A31 Audit completion checklist</w:t>
            </w:r>
          </w:p>
        </w:tc>
        <w:trHeight w:val="615" w:hRule="atLeast"/>
        <w:tc>
          <w:tcPr>
            <w:tcW w:w="3194.36" w:type="pct"/>
            <w:vAlign w:val="top"/>
          </w:tcPr>
          <w:p>
            <w:pPr>
              <w:pStyle w:val="ListParagraph"/>
              <w:numPr>
                <w:ilvl w:val="0"/>
                <w:numId w:val="47"/>
              </w:numPr>
              <w:rPr>
                <w:lang w:val="en"/>
              </w:rPr>
              <w:bidi w:val="false"/>
            </w:pPr>
            <w:r>
              <w:t xml:space="preserve">Minor updates throughout for changes in terminology and requirements in connection with updates to ISAs 240 and 315. </w:t>
            </w:r>
          </w:p>
          <w:p>
            <w:pPr>
              <w:pStyle w:val="ListParagraph"/>
              <w:numPr>
                <w:ilvl w:val="0"/>
                <w:numId w:val="47"/>
              </w:numPr>
              <w:rPr>
                <w:lang w:val="en"/>
              </w:rPr>
              <w:bidi w:val="false"/>
            </w:pPr>
            <w:r>
              <w:t xml:space="preserve">New procedure added with respect to consistency of accounting policies. </w:t>
            </w:r>
          </w:p>
          <w:p>
            <w:pPr>
              <w:pStyle w:val="ListParagraph"/>
              <w:numPr>
                <w:ilvl w:val="0"/>
                <w:numId w:val="47"/>
              </w:numPr>
              <w:rPr>
                <w:lang w:val="en"/>
              </w:rPr>
              <w:bidi w:val="false"/>
            </w:pPr>
            <w:r>
              <w:t xml:space="preserve">Several procedures in respect of fraud have been removed from this form as they are now included in the new A46 instead.</w:t>
            </w:r>
          </w:p>
          <w:p>
            <w:pPr>
              <w:pStyle w:val="ListParagraph"/>
              <w:numPr>
                <w:ilvl w:val="0"/>
                <w:numId w:val="47"/>
              </w:numPr>
              <w:rPr>
                <w:lang w:val="en"/>
              </w:rPr>
              <w:bidi w:val="false"/>
            </w:pPr>
            <w:r>
              <w:t xml:space="preserve">Procedures updated to remove reference to "For periods commencing on or after 15 March 2020" as this date has now passed.</w:t>
            </w:r>
          </w:p>
          <w:p>
            <w:pPr>
              <w:pStyle w:val="ListParagraph"/>
              <w:numPr>
                <w:ilvl w:val="0"/>
                <w:numId w:val="47"/>
              </w:numPr>
              <w:rPr>
                <w:lang w:val="en"/>
              </w:rPr>
              <w:bidi w:val="false"/>
            </w:pPr>
            <w:r>
              <w:t xml:space="preserve">Several procedures have been re-ordered to give a more logical flow to the form.</w:t>
            </w:r>
          </w:p>
        </w:tc>
      </w:tr>
      <w:tr>
        <w:trPr>
          <w:trHeight w:val="150" w:hRule="atLeast"/>
        </w:trPr>
        <w:trHeight w:val="540" w:hRule="atLeast"/>
        <w:tc>
          <w:tcPr>
            <w:tcW w:w="1802.88" w:type="pct"/>
            <w:tcMar>
              <w:left w:w="450" w:type="dxa"/>
            </w:tcMar>
            <w:vAlign w:val="top"/>
          </w:tcPr>
          <w:p>
            <w:r>
              <w:t xml:space="preserve">A45 Audit data analytics and other technology update and evaluation</w:t>
            </w:r>
          </w:p>
        </w:tc>
        <w:trHeight w:val="540" w:hRule="atLeast"/>
        <w:tc>
          <w:tcPr>
            <w:tcW w:w="3194.36" w:type="pct"/>
            <w:vAlign w:val="top"/>
          </w:tcPr>
          <w:p>
            <w:pPr>
              <w:pStyle w:val="ListParagraph"/>
              <w:numPr>
                <w:ilvl w:val="0"/>
                <w:numId w:val="48"/>
              </w:numPr>
              <w:rPr>
                <w:lang w:val="en"/>
              </w:rPr>
              <w:bidi w:val="false"/>
            </w:pPr>
            <w:r>
              <w:t xml:space="preserve">Reference changes only. </w:t>
            </w:r>
          </w:p>
        </w:tc>
      </w:tr>
      <w:tr>
        <w:trPr>
          <w:trHeight w:val="615" w:hRule="atLeast"/>
        </w:trPr>
        <w:trHeight w:val="615" w:hRule="atLeast"/>
        <w:tc>
          <w:tcPr>
            <w:tcW w:w="1802.88" w:type="pct"/>
            <w:tcMar>
              <w:left w:w="450" w:type="dxa"/>
            </w:tcMar>
            <w:vAlign w:val="top"/>
          </w:tcPr>
          <w:p>
            <w:r>
              <w:t xml:space="preserve">A46 Fraud update and evaluation</w:t>
            </w:r>
          </w:p>
        </w:tc>
        <w:trHeight w:val="615" w:hRule="atLeast"/>
        <w:tc>
          <w:tcPr>
            <w:tcW w:w="3194.36" w:type="pct"/>
            <w:vAlign w:val="top"/>
          </w:tcPr>
          <w:p>
            <w:pPr>
              <w:pStyle w:val="ListParagraph"/>
              <w:numPr>
                <w:ilvl w:val="0"/>
                <w:numId w:val="49"/>
              </w:numPr>
              <w:rPr>
                <w:lang w:val="en"/>
              </w:rPr>
              <w:bidi w:val="false"/>
            </w:pPr>
            <w:r>
              <w:t xml:space="preserve">New form to evaluate key matters with respect to fraud in the completion section, based on the updated ISA 240 requirements. </w:t>
            </w:r>
          </w:p>
        </w:tc>
      </w:tr>
      <w:tr>
        <w:trPr>
          <w:trHeight w:val="615" w:hRule="atLeast"/>
        </w:trPr>
        <w:trHeight w:val="615" w:hRule="atLeast"/>
        <w:tc>
          <w:tcPr>
            <w:tcW w:w="1802.88" w:type="pct"/>
            <w:tcMar>
              <w:left w:w="450" w:type="dxa"/>
            </w:tcMar>
            <w:vAlign w:val="top"/>
          </w:tcPr>
          <w:p>
            <w:r>
              <w:t xml:space="preserve">A51 Written representations checklist</w:t>
            </w:r>
          </w:p>
        </w:tc>
        <w:trHeight w:val="615" w:hRule="atLeast"/>
        <w:tc>
          <w:tcPr>
            <w:tcW w:w="3194.36" w:type="pct"/>
            <w:vAlign w:val="top"/>
          </w:tcPr>
          <w:p>
            <w:pPr>
              <w:pStyle w:val="ListParagraph"/>
              <w:numPr>
                <w:ilvl w:val="0"/>
                <w:numId w:val="50"/>
              </w:numPr>
              <w:rPr>
                <w:lang w:val="en"/>
              </w:rPr>
              <w:bidi w:val="false"/>
            </w:pPr>
            <w:r>
              <w:t xml:space="preserve">Minor updates to reflect changes in ISA 240. </w:t>
            </w:r>
          </w:p>
        </w:tc>
      </w:tr>
      <w:tr>
        <w:trPr>
          <w:trHeight w:val="615" w:hRule="atLeast"/>
        </w:trPr>
        <w:trHeight w:val="615" w:hRule="atLeast"/>
        <w:tc>
          <w:tcPr>
            <w:tcW w:w="1802.88" w:type="pct"/>
            <w:tcMar>
              <w:left w:w="450" w:type="dxa"/>
            </w:tcMar>
            <w:vAlign w:val="top"/>
          </w:tcPr>
          <w:p>
            <w:r>
              <w:t xml:space="preserve">A52-1 Communication with management checklist</w:t>
            </w:r>
          </w:p>
        </w:tc>
        <w:trHeight w:val="615" w:hRule="atLeast"/>
        <w:tc>
          <w:tcPr>
            <w:tcW w:w="3194.36" w:type="pct"/>
            <w:vAlign w:val="top"/>
          </w:tcPr>
          <w:p>
            <w:pPr>
              <w:pStyle w:val="ListParagraph"/>
              <w:numPr>
                <w:ilvl w:val="0"/>
                <w:numId w:val="51"/>
              </w:numPr>
              <w:rPr>
                <w:lang w:val="en"/>
              </w:rPr>
              <w:bidi w:val="false"/>
            </w:pPr>
            <w:r>
              <w:t xml:space="preserve">Minor updates to reflect changes in ISA 240. </w:t>
            </w:r>
          </w:p>
        </w:tc>
      </w:tr>
      <w:tr>
        <w:trPr>
          <w:trHeight w:val="660" w:hRule="atLeast"/>
        </w:trPr>
        <w:trHeight w:val="660" w:hRule="atLeast"/>
        <w:tc>
          <w:tcPr>
            <w:tcW w:w="1802.88" w:type="pct"/>
            <w:tcMar>
              <w:left w:w="450" w:type="dxa"/>
            </w:tcMar>
            <w:vAlign w:val="top"/>
          </w:tcPr>
          <w:p>
            <w:r>
              <w:t xml:space="preserve">A71 Final analytical procedures</w:t>
            </w:r>
          </w:p>
        </w:tc>
        <w:trHeight w:val="660" w:hRule="atLeast"/>
        <w:tc>
          <w:tcPr>
            <w:tcW w:w="3194.36" w:type="pct"/>
            <w:vAlign w:val="top"/>
          </w:tcPr>
          <w:p>
            <w:pPr>
              <w:pStyle w:val="ListParagraph"/>
              <w:numPr>
                <w:ilvl w:val="0"/>
                <w:numId w:val="52"/>
              </w:numPr>
              <w:rPr>
                <w:lang w:val="en"/>
              </w:rPr>
              <w:bidi w:val="false"/>
            </w:pPr>
            <w:r>
              <w:t xml:space="preserve">Additional bullet point added with respect to the revised ISA 240. </w:t>
            </w:r>
          </w:p>
        </w:tc>
      </w:tr>
      <w:tr>
        <w:trPr>
          <w:trHeight w:val="615" w:hRule="atLeast"/>
        </w:trPr>
        <w:trHeight w:val="615" w:hRule="atLeast"/>
        <w:tc>
          <w:tcPr>
            <w:tcW w:w="1802.88" w:type="pct"/>
            <w:vAlign w:val="top"/>
          </w:tcPr>
          <w:p>
            <w:r>
              <w:rPr>
                <w:rStyle w:val="Bold"/>
              </w:rPr>
              <w:t xml:space="preserve">Current file: Planning (detailed) (p/c on or after 15 Dec 2021)</w:t>
            </w:r>
            <w:r>
              <w:br/>
            </w:r>
          </w:p>
        </w:tc>
        <w:trHeight w:val="615" w:hRule="atLeast"/>
        <w:tc>
          <w:tcPr>
            <w:tcW w:w="3194.36" w:type="pct"/>
            <w:vAlign w:val="top"/>
          </w:tcPr>
          <w:p>
            <w:pPr>
              <w:rPr>
                <w:lang w:val="en"/>
              </w:rPr>
              <w:bidi w:val="false"/>
            </w:pPr>
            <w:r>
              <w:t xml:space="preserve"> </w:t>
            </w:r>
          </w:p>
        </w:tc>
      </w:tr>
      <w:tr>
        <w:trPr>
          <w:trHeight w:val="615" w:hRule="atLeast"/>
        </w:trPr>
        <w:trHeight w:val="615" w:hRule="atLeast"/>
        <w:tc>
          <w:tcPr>
            <w:tcW w:w="1802.88" w:type="pct"/>
            <w:tcMar>
              <w:left w:w="450" w:type="dxa"/>
            </w:tcMar>
            <w:vAlign w:val="top"/>
          </w:tcPr>
          <w:p>
            <w:r>
              <w:t xml:space="preserve">B01 Planning checklist</w:t>
            </w:r>
          </w:p>
        </w:tc>
        <w:trHeight w:val="615" w:hRule="atLeast"/>
        <w:tc>
          <w:tcPr>
            <w:tcW w:w="3194.36" w:type="pct"/>
            <w:vAlign w:val="top"/>
          </w:tcPr>
          <w:p>
            <w:pPr>
              <w:pStyle w:val="ListParagraph"/>
              <w:numPr>
                <w:ilvl w:val="0"/>
                <w:numId w:val="53"/>
              </w:numPr>
              <w:rPr>
                <w:lang w:val="en"/>
              </w:rPr>
              <w:bidi w:val="false"/>
            </w:pPr>
            <w:r>
              <w:t xml:space="preserve">Moved from B11. </w:t>
            </w:r>
          </w:p>
          <w:p>
            <w:pPr>
              <w:pStyle w:val="ListParagraph"/>
              <w:numPr>
                <w:ilvl w:val="0"/>
                <w:numId w:val="53"/>
              </w:numPr>
              <w:rPr>
                <w:lang w:val="en"/>
              </w:rPr>
              <w:bidi w:val="false"/>
            </w:pPr>
            <w:r>
              <w:t xml:space="preserve">Guidance notes updated to reflect ISA 315 changes. </w:t>
            </w:r>
          </w:p>
          <w:p>
            <w:pPr>
              <w:pStyle w:val="ListParagraph"/>
              <w:numPr>
                <w:ilvl w:val="0"/>
                <w:numId w:val="53"/>
              </w:numPr>
              <w:rPr>
                <w:lang w:val="en"/>
              </w:rPr>
              <w:bidi w:val="false"/>
            </w:pPr>
            <w:r>
              <w:t xml:space="preserve">First section renamed pre planning. </w:t>
            </w:r>
          </w:p>
          <w:p>
            <w:pPr>
              <w:pStyle w:val="ListParagraph"/>
              <w:numPr>
                <w:ilvl w:val="0"/>
                <w:numId w:val="53"/>
              </w:numPr>
              <w:rPr>
                <w:lang w:val="en"/>
              </w:rPr>
              <w:bidi w:val="false"/>
            </w:pPr>
            <w:r>
              <w:t xml:space="preserve">Minor amendments to items for clarity, best practice and ISA 315 changes.  </w:t>
            </w:r>
          </w:p>
          <w:p>
            <w:pPr>
              <w:pStyle w:val="ListParagraph"/>
              <w:numPr>
                <w:ilvl w:val="0"/>
                <w:numId w:val="53"/>
              </w:numPr>
              <w:rPr>
                <w:lang w:val="en"/>
              </w:rPr>
              <w:bidi w:val="false"/>
            </w:pPr>
            <w:r>
              <w:t xml:space="preserve">New item added requiring completion of new fraud risk assessment form B34 which incorporates changes to ISA 240. </w:t>
            </w:r>
          </w:p>
          <w:p>
            <w:pPr>
              <w:pStyle w:val="ListParagraph"/>
              <w:numPr>
                <w:ilvl w:val="0"/>
                <w:numId w:val="53"/>
              </w:numPr>
              <w:rPr>
                <w:lang w:val="en"/>
              </w:rPr>
              <w:bidi w:val="false"/>
            </w:pPr>
            <w:r>
              <w:t xml:space="preserve">New items added to risk assessment procedures and risk assessment / audit approach in relation to team meetings and team briefings given these have now been split in the methodology, and the team meeting section of this form has been removed as a result.  </w:t>
            </w:r>
          </w:p>
        </w:tc>
      </w:tr>
      <w:tr>
        <w:trPr>
          <w:trHeight w:val="615" w:hRule="atLeast"/>
        </w:trPr>
        <w:trHeight w:val="615" w:hRule="atLeast"/>
        <w:tc>
          <w:tcPr>
            <w:tcW w:w="1802.88" w:type="pct"/>
            <w:tcMar>
              <w:left w:w="450" w:type="dxa"/>
            </w:tcMar>
            <w:vAlign w:val="top"/>
          </w:tcPr>
          <w:p>
            <w:r>
              <w:t xml:space="preserve">B02 Audit strategy</w:t>
            </w:r>
          </w:p>
        </w:tc>
        <w:trHeight w:val="615" w:hRule="atLeast"/>
        <w:tc>
          <w:tcPr>
            <w:tcW w:w="3194.36" w:type="pct"/>
            <w:vAlign w:val="top"/>
          </w:tcPr>
          <w:p>
            <w:pPr>
              <w:pStyle w:val="ListParagraph"/>
              <w:numPr>
                <w:ilvl w:val="0"/>
                <w:numId w:val="54"/>
              </w:numPr>
              <w:rPr>
                <w:lang w:val="en"/>
              </w:rPr>
              <w:bidi w:val="false"/>
            </w:pPr>
            <w:r>
              <w:t xml:space="preserve">New form to ensure best practice in relation to an audit strategy is followed. </w:t>
            </w:r>
          </w:p>
        </w:tc>
      </w:tr>
      <w:tr>
        <w:trPr>
          <w:trHeight w:val="615" w:hRule="atLeast"/>
        </w:trPr>
        <w:trHeight w:val="615" w:hRule="atLeast"/>
        <w:tc>
          <w:tcPr>
            <w:tcW w:w="1802.88" w:type="pct"/>
            <w:tcMar>
              <w:left w:w="450" w:type="dxa"/>
            </w:tcMar>
            <w:vAlign w:val="top"/>
          </w:tcPr>
          <w:p>
            <w:r>
              <w:t xml:space="preserve">B03 Preliminary engagement quality control review (ISQC version)</w:t>
            </w:r>
          </w:p>
        </w:tc>
        <w:trHeight w:val="615" w:hRule="atLeast"/>
        <w:tc>
          <w:tcPr>
            <w:tcW w:w="3194.36" w:type="pct"/>
            <w:vAlign w:val="top"/>
          </w:tcPr>
          <w:p>
            <w:pPr>
              <w:pStyle w:val="ListParagraph"/>
              <w:numPr>
                <w:ilvl w:val="0"/>
                <w:numId w:val="55"/>
              </w:numPr>
              <w:rPr>
                <w:lang w:val="en"/>
              </w:rPr>
              <w:bidi w:val="false"/>
            </w:pPr>
            <w:r>
              <w:t xml:space="preserve">Moved from B14. </w:t>
            </w:r>
          </w:p>
          <w:p>
            <w:pPr>
              <w:pStyle w:val="ListParagraph"/>
              <w:numPr>
                <w:ilvl w:val="0"/>
                <w:numId w:val="55"/>
              </w:numPr>
              <w:rPr>
                <w:lang w:val="en"/>
              </w:rPr>
              <w:bidi w:val="false"/>
            </w:pPr>
            <w:r>
              <w:t xml:space="preserve">Renamed to highlight this version of the form applies before the new quality management standards are adopted. </w:t>
            </w:r>
          </w:p>
        </w:tc>
      </w:tr>
      <w:tr>
        <w:tc>
          <w:tcPr>
            <w:tcW w:w="1802.88" w:type="pct"/>
            <w:tcMar>
              <w:left w:w="450" w:type="dxa"/>
            </w:tcMar>
            <w:vAlign w:val="top"/>
          </w:tcPr>
          <w:p>
            <w:r>
              <w:t xml:space="preserve">B03 Preliminary engagement quality review (ISQM version)</w:t>
            </w:r>
          </w:p>
        </w:tc>
        <w:tc>
          <w:tcPr>
            <w:tcW w:w="3194.36" w:type="pct"/>
            <w:vAlign w:val="top"/>
          </w:tcPr>
          <w:p>
            <w:pPr>
              <w:pStyle w:val="ListParagraph"/>
              <w:numPr>
                <w:ilvl w:val="0"/>
                <w:numId w:val="56"/>
              </w:numPr>
              <w:rPr>
                <w:lang w:val="en"/>
              </w:rPr>
              <w:bidi w:val="false"/>
            </w:pPr>
            <w:r>
              <w:t xml:space="preserve">A new version of the form applicable when the new quality management standards are adopted. </w:t>
            </w:r>
          </w:p>
        </w:tc>
      </w:tr>
      <w:tr>
        <w:trPr>
          <w:trHeight w:val="585" w:hRule="atLeast"/>
        </w:trPr>
        <w:trHeight w:val="585" w:hRule="atLeast"/>
        <w:tc>
          <w:tcPr>
            <w:tcW w:w="1802.88" w:type="pct"/>
            <w:tcMar>
              <w:left w:w="450" w:type="dxa"/>
            </w:tcMar>
            <w:vAlign w:val="top"/>
          </w:tcPr>
          <w:p>
            <w:r>
              <w:t xml:space="preserve">B10 Engagement review</w:t>
            </w:r>
          </w:p>
        </w:tc>
        <w:trHeight w:val="585" w:hRule="atLeast"/>
        <w:tc>
          <w:tcPr>
            <w:tcW w:w="3194.36" w:type="pct"/>
            <w:vAlign w:val="top"/>
          </w:tcPr>
          <w:p>
            <w:pPr>
              <w:pStyle w:val="ListParagraph"/>
              <w:numPr>
                <w:ilvl w:val="0"/>
                <w:numId w:val="57"/>
              </w:numPr>
              <w:rPr>
                <w:lang w:val="en"/>
              </w:rPr>
              <w:bidi w:val="false"/>
            </w:pPr>
            <w:r>
              <w:t xml:space="preserve">New form to summarise the acceptance and appointment section. </w:t>
            </w:r>
          </w:p>
        </w:tc>
      </w:tr>
      <w:tr>
        <w:trPr>
          <w:trHeight w:val="630" w:hRule="atLeast"/>
        </w:trPr>
        <w:trHeight w:val="630" w:hRule="atLeast"/>
        <w:tc>
          <w:tcPr>
            <w:tcW w:w="1802.88" w:type="pct"/>
            <w:tcMar>
              <w:left w:w="450" w:type="dxa"/>
            </w:tcMar>
            <w:vAlign w:val="top"/>
          </w:tcPr>
          <w:p>
            <w:r>
              <w:t xml:space="preserve">B11 Acceptance of appointment or reappointment</w:t>
            </w:r>
          </w:p>
        </w:tc>
        <w:trHeight w:val="630" w:hRule="atLeast"/>
        <w:tc>
          <w:tcPr>
            <w:tcW w:w="3194.36" w:type="pct"/>
            <w:vAlign w:val="top"/>
          </w:tcPr>
          <w:p>
            <w:pPr>
              <w:pStyle w:val="ListParagraph"/>
              <w:numPr>
                <w:ilvl w:val="0"/>
                <w:numId w:val="58"/>
              </w:numPr>
              <w:rPr>
                <w:lang w:val="en"/>
              </w:rPr>
              <w:bidi w:val="false"/>
            </w:pPr>
            <w:r>
              <w:t xml:space="preserve">Moved from B12.</w:t>
            </w:r>
          </w:p>
          <w:p>
            <w:pPr>
              <w:pStyle w:val="ListParagraph"/>
              <w:numPr>
                <w:ilvl w:val="0"/>
                <w:numId w:val="58"/>
              </w:numPr>
              <w:rPr>
                <w:lang w:val="en"/>
              </w:rPr>
              <w:bidi w:val="false"/>
            </w:pPr>
            <w:r>
              <w:t xml:space="preserve">Minor amendments due to restructure of the planning and PF sections. </w:t>
            </w:r>
          </w:p>
          <w:p>
            <w:pPr>
              <w:pStyle w:val="ListParagraph"/>
              <w:numPr>
                <w:ilvl w:val="0"/>
                <w:numId w:val="58"/>
              </w:numPr>
              <w:rPr>
                <w:lang w:val="en"/>
              </w:rPr>
              <w:bidi w:val="false"/>
            </w:pPr>
            <w:r>
              <w:t xml:space="preserve">Removed references to "For periods commencing on or after 15 March 2020" as this date has now passed. </w:t>
            </w:r>
          </w:p>
        </w:tc>
      </w:tr>
      <w:tr>
        <w:trPr>
          <w:trHeight w:val="630" w:hRule="atLeast"/>
        </w:trPr>
        <w:trHeight w:val="630" w:hRule="atLeast"/>
        <w:tc>
          <w:tcPr>
            <w:tcW w:w="1802.88" w:type="pct"/>
            <w:tcMar>
              <w:left w:w="450" w:type="dxa"/>
            </w:tcMar>
            <w:vAlign w:val="top"/>
          </w:tcPr>
          <w:p>
            <w:r>
              <w:t xml:space="preserve">B12 Compliance with the Ethical Standard</w:t>
            </w:r>
          </w:p>
        </w:tc>
        <w:trHeight w:val="630" w:hRule="atLeast"/>
        <w:tc>
          <w:tcPr>
            <w:tcW w:w="3194.36" w:type="pct"/>
            <w:vAlign w:val="top"/>
          </w:tcPr>
          <w:p>
            <w:pPr>
              <w:pStyle w:val="ListParagraph"/>
              <w:numPr>
                <w:ilvl w:val="0"/>
                <w:numId w:val="59"/>
              </w:numPr>
              <w:rPr>
                <w:lang w:val="en"/>
              </w:rPr>
              <w:bidi w:val="false"/>
            </w:pPr>
            <w:r>
              <w:t xml:space="preserve">Moved from B13. </w:t>
            </w:r>
          </w:p>
          <w:p>
            <w:pPr>
              <w:pStyle w:val="ListParagraph"/>
              <w:numPr>
                <w:ilvl w:val="0"/>
                <w:numId w:val="59"/>
              </w:numPr>
              <w:rPr>
                <w:lang w:val="en"/>
              </w:rPr>
              <w:bidi w:val="false"/>
            </w:pPr>
            <w:r>
              <w:t xml:space="preserve">Minor amendments due to restructure of the planning section. </w:t>
            </w:r>
          </w:p>
          <w:p>
            <w:pPr>
              <w:pStyle w:val="ListParagraph"/>
              <w:numPr>
                <w:ilvl w:val="0"/>
                <w:numId w:val="59"/>
              </w:numPr>
              <w:rPr>
                <w:lang w:val="en"/>
              </w:rPr>
              <w:bidi w:val="false"/>
            </w:pPr>
            <w:r>
              <w:t xml:space="preserve">Minor amendments related to the introduction of the new quality management standards. </w:t>
            </w:r>
          </w:p>
          <w:p>
            <w:pPr>
              <w:pStyle w:val="ListParagraph"/>
              <w:numPr>
                <w:ilvl w:val="0"/>
                <w:numId w:val="59"/>
              </w:numPr>
              <w:rPr>
                <w:lang w:val="en"/>
              </w:rPr>
              <w:bidi w:val="false"/>
            </w:pPr>
            <w:r>
              <w:t xml:space="preserve">Removal of references to "For periods commencing on or after 15 March 2020" and "For periods commencing before 15 March 2020" and consequential updates to footnotes, as this date has now passed.</w:t>
            </w:r>
          </w:p>
          <w:p>
            <w:pPr>
              <w:pStyle w:val="ListParagraph"/>
              <w:numPr>
                <w:ilvl w:val="0"/>
                <w:numId w:val="59"/>
              </w:numPr>
              <w:rPr>
                <w:lang w:val="en"/>
              </w:rPr>
              <w:bidi w:val="false"/>
            </w:pPr>
            <w:r>
              <w:t xml:space="preserve">Minor update to wording in consultation and communication section to reflect best practice terminology. </w:t>
            </w:r>
          </w:p>
        </w:tc>
      </w:tr>
      <w:tr>
        <w:trPr>
          <w:trHeight w:val="300" w:hRule="atLeast"/>
        </w:trPr>
        <w:trHeight w:val="300" w:hRule="atLeast"/>
        <w:tc>
          <w:tcPr>
            <w:tcW w:w="1802.88" w:type="pct"/>
            <w:tcMar>
              <w:left w:w="450" w:type="dxa"/>
            </w:tcMar>
            <w:vAlign w:val="top"/>
          </w:tcPr>
          <w:p>
            <w:r>
              <w:t xml:space="preserve">B13 New client checklist</w:t>
            </w:r>
          </w:p>
        </w:tc>
        <w:trHeight w:val="300" w:hRule="atLeast"/>
        <w:tc>
          <w:tcPr>
            <w:tcW w:w="3194.36" w:type="pct"/>
            <w:vAlign w:val="top"/>
          </w:tcPr>
          <w:p>
            <w:pPr>
              <w:pStyle w:val="ListParagraph"/>
              <w:numPr>
                <w:ilvl w:val="0"/>
                <w:numId w:val="60"/>
              </w:numPr>
              <w:rPr>
                <w:lang w:val="en"/>
              </w:rPr>
              <w:bidi w:val="false"/>
            </w:pPr>
            <w:r>
              <w:t xml:space="preserve">Moved from PF1. </w:t>
            </w:r>
          </w:p>
        </w:tc>
      </w:tr>
      <w:tr>
        <w:trPr>
          <w:trHeight w:val="630" w:hRule="atLeast"/>
        </w:trPr>
        <w:trHeight w:val="630" w:hRule="atLeast"/>
        <w:tc>
          <w:tcPr>
            <w:tcW w:w="1802.88" w:type="pct"/>
            <w:tcMar>
              <w:left w:w="450" w:type="dxa"/>
            </w:tcMar>
            <w:vAlign w:val="top"/>
          </w:tcPr>
          <w:p>
            <w:r>
              <w:t xml:space="preserve">B14 Opening balances and consistency of accounting policies</w:t>
            </w:r>
          </w:p>
        </w:tc>
        <w:trHeight w:val="630" w:hRule="atLeast"/>
        <w:tc>
          <w:tcPr>
            <w:tcW w:w="3194.36" w:type="pct"/>
            <w:vAlign w:val="top"/>
          </w:tcPr>
          <w:p>
            <w:pPr>
              <w:pStyle w:val="ListParagraph"/>
              <w:numPr>
                <w:ilvl w:val="0"/>
                <w:numId w:val="61"/>
              </w:numPr>
              <w:rPr>
                <w:lang w:val="en"/>
              </w:rPr>
              <w:bidi w:val="false"/>
            </w:pPr>
            <w:r>
              <w:t xml:space="preserve">New form to assist in gathering sufficient appropriate audit evidence over opening balances and consistency of accounting policies.  </w:t>
            </w:r>
          </w:p>
        </w:tc>
      </w:tr>
      <w:tr>
        <w:trPr>
          <w:trHeight w:val="630" w:hRule="atLeast"/>
        </w:trPr>
        <w:trHeight w:val="630" w:hRule="atLeast"/>
        <w:tc>
          <w:tcPr>
            <w:tcW w:w="1802.88" w:type="pct"/>
            <w:tcMar>
              <w:left w:w="450" w:type="dxa"/>
            </w:tcMar>
            <w:vAlign w:val="top"/>
          </w:tcPr>
          <w:p>
            <w:r>
              <w:t xml:space="preserve">B15 Terms of engagement - placeholder</w:t>
            </w:r>
          </w:p>
        </w:tc>
        <w:trHeight w:val="630" w:hRule="atLeast"/>
        <w:tc>
          <w:tcPr>
            <w:tcW w:w="3194.36" w:type="pct"/>
            <w:vAlign w:val="top"/>
          </w:tcPr>
          <w:p>
            <w:pPr>
              <w:pStyle w:val="ListParagraph"/>
              <w:numPr>
                <w:ilvl w:val="0"/>
                <w:numId w:val="62"/>
              </w:numPr>
              <w:rPr>
                <w:lang w:val="en"/>
              </w:rPr>
              <w:bidi w:val="false"/>
            </w:pPr>
            <w:r>
              <w:t xml:space="preserve">New placeholder added. </w:t>
            </w:r>
          </w:p>
        </w:tc>
      </w:tr>
      <w:tr>
        <w:trPr>
          <w:trHeight w:val="630" w:hRule="atLeast"/>
        </w:trPr>
        <w:trHeight w:val="630" w:hRule="atLeast"/>
        <w:tc>
          <w:tcPr>
            <w:tcW w:w="1802.88" w:type="pct"/>
            <w:tcMar>
              <w:left w:w="450" w:type="dxa"/>
            </w:tcMar>
            <w:vAlign w:val="top"/>
          </w:tcPr>
          <w:p>
            <w:r>
              <w:t xml:space="preserve">B20 Information gathering summary</w:t>
            </w:r>
          </w:p>
        </w:tc>
        <w:trHeight w:val="630" w:hRule="atLeast"/>
        <w:tc>
          <w:tcPr>
            <w:tcW w:w="3194.36" w:type="pct"/>
            <w:vAlign w:val="top"/>
          </w:tcPr>
          <w:p>
            <w:pPr>
              <w:pStyle w:val="ListParagraph"/>
              <w:numPr>
                <w:ilvl w:val="0"/>
                <w:numId w:val="63"/>
              </w:numPr>
              <w:rPr>
                <w:lang w:val="en"/>
              </w:rPr>
              <w:bidi w:val="false"/>
            </w:pPr>
            <w:r>
              <w:t xml:space="preserve">New form to summarise the information gathering section. </w:t>
            </w:r>
          </w:p>
        </w:tc>
      </w:tr>
      <w:tr>
        <w:trPr>
          <w:trHeight w:val="630" w:hRule="atLeast"/>
        </w:trPr>
        <w:trHeight w:val="630" w:hRule="atLeast"/>
        <w:tc>
          <w:tcPr>
            <w:tcW w:w="1802.88" w:type="pct"/>
            <w:tcMar>
              <w:left w:w="450" w:type="dxa"/>
            </w:tcMar>
            <w:vAlign w:val="top"/>
          </w:tcPr>
          <w:p>
            <w:r>
              <w:t xml:space="preserve">B21 Audit data analytics assessment</w:t>
            </w:r>
          </w:p>
        </w:tc>
        <w:trHeight w:val="630" w:hRule="atLeast"/>
        <w:tc>
          <w:tcPr>
            <w:tcW w:w="3194.36" w:type="pct"/>
            <w:vAlign w:val="top"/>
          </w:tcPr>
          <w:p>
            <w:pPr>
              <w:pStyle w:val="ListParagraph"/>
              <w:numPr>
                <w:ilvl w:val="0"/>
                <w:numId w:val="64"/>
              </w:numPr>
              <w:rPr>
                <w:lang w:val="en"/>
              </w:rPr>
              <w:bidi w:val="false"/>
            </w:pPr>
            <w:r>
              <w:t xml:space="preserve">Moved from B20. </w:t>
            </w:r>
          </w:p>
          <w:p>
            <w:pPr>
              <w:pStyle w:val="ListParagraph"/>
              <w:numPr>
                <w:ilvl w:val="0"/>
                <w:numId w:val="64"/>
              </w:numPr>
              <w:rPr>
                <w:lang w:val="en"/>
              </w:rPr>
              <w:bidi w:val="false"/>
            </w:pPr>
            <w:r>
              <w:t xml:space="preserve">Minor amendments for clarity.</w:t>
            </w:r>
          </w:p>
        </w:tc>
      </w:tr>
      <w:tr>
        <w:trPr>
          <w:trHeight w:val="630" w:hRule="atLeast"/>
        </w:trPr>
        <w:trHeight w:val="630" w:hRule="atLeast"/>
        <w:tc>
          <w:tcPr>
            <w:tcW w:w="1802.88" w:type="pct"/>
            <w:tcMar>
              <w:left w:w="450" w:type="dxa"/>
            </w:tcMar>
            <w:vAlign w:val="top"/>
          </w:tcPr>
          <w:p>
            <w:r>
              <w:t xml:space="preserve">B22-1 Communication with management</w:t>
            </w:r>
          </w:p>
        </w:tc>
        <w:trHeight w:val="630" w:hRule="atLeast"/>
        <w:tc>
          <w:tcPr>
            <w:tcW w:w="3194.36" w:type="pct"/>
            <w:vAlign w:val="top"/>
          </w:tcPr>
          <w:p>
            <w:pPr>
              <w:pStyle w:val="ListParagraph"/>
              <w:numPr>
                <w:ilvl w:val="0"/>
                <w:numId w:val="65"/>
              </w:numPr>
              <w:rPr>
                <w:lang w:val="en"/>
              </w:rPr>
              <w:bidi w:val="false"/>
            </w:pPr>
            <w:r>
              <w:t xml:space="preserve">Moved from B21-1.</w:t>
            </w:r>
          </w:p>
          <w:p>
            <w:pPr>
              <w:pStyle w:val="ListParagraph"/>
              <w:numPr>
                <w:ilvl w:val="0"/>
                <w:numId w:val="65"/>
              </w:numPr>
              <w:rPr>
                <w:lang w:val="en"/>
              </w:rPr>
              <w:bidi w:val="false"/>
            </w:pPr>
            <w:r>
              <w:t xml:space="preserve">Minor updates to fraud risk section to address ISA 240 changes. </w:t>
            </w:r>
          </w:p>
          <w:p>
            <w:pPr>
              <w:pStyle w:val="ListParagraph"/>
              <w:numPr>
                <w:ilvl w:val="0"/>
                <w:numId w:val="65"/>
              </w:numPr>
              <w:rPr>
                <w:lang w:val="en"/>
              </w:rPr>
              <w:bidi w:val="false"/>
            </w:pPr>
            <w:r>
              <w:t xml:space="preserve">New footnote added with additional guidance. </w:t>
            </w:r>
          </w:p>
        </w:tc>
      </w:tr>
      <w:tr>
        <w:trPr>
          <w:trHeight w:val="630" w:hRule="atLeast"/>
        </w:trPr>
        <w:trHeight w:val="630" w:hRule="atLeast"/>
        <w:tc>
          <w:tcPr>
            <w:tcW w:w="1802.88" w:type="pct"/>
            <w:tcMar>
              <w:left w:w="450" w:type="dxa"/>
            </w:tcMar>
            <w:vAlign w:val="top"/>
          </w:tcPr>
          <w:p>
            <w:r>
              <w:t xml:space="preserve">B22-2 Communication with those charged with governance</w:t>
            </w:r>
          </w:p>
        </w:tc>
        <w:trHeight w:val="630" w:hRule="atLeast"/>
        <w:tc>
          <w:tcPr>
            <w:tcW w:w="3194.36" w:type="pct"/>
            <w:vAlign w:val="top"/>
          </w:tcPr>
          <w:p>
            <w:pPr>
              <w:pStyle w:val="ListParagraph"/>
              <w:numPr>
                <w:ilvl w:val="0"/>
                <w:numId w:val="66"/>
              </w:numPr>
              <w:rPr>
                <w:lang w:val="en"/>
              </w:rPr>
              <w:bidi w:val="false"/>
            </w:pPr>
            <w:r>
              <w:t xml:space="preserve">Moved from B21-2.</w:t>
            </w:r>
          </w:p>
          <w:p>
            <w:pPr>
              <w:pStyle w:val="ListParagraph"/>
              <w:numPr>
                <w:ilvl w:val="0"/>
                <w:numId w:val="66"/>
              </w:numPr>
              <w:rPr>
                <w:lang w:val="en"/>
              </w:rPr>
              <w:bidi w:val="false"/>
            </w:pPr>
            <w:r>
              <w:t xml:space="preserve">"Agenda for" removed from title. </w:t>
            </w:r>
          </w:p>
          <w:p>
            <w:pPr>
              <w:pStyle w:val="ListParagraph"/>
              <w:numPr>
                <w:ilvl w:val="0"/>
                <w:numId w:val="66"/>
              </w:numPr>
              <w:rPr>
                <w:lang w:val="en"/>
              </w:rPr>
              <w:bidi w:val="false"/>
            </w:pPr>
            <w:r>
              <w:t xml:space="preserve">Minor updates to fraud risk section to address ISA 240 changes. </w:t>
            </w:r>
          </w:p>
        </w:tc>
      </w:tr>
      <w:tr>
        <w:trPr>
          <w:trHeight w:val="630" w:hRule="atLeast"/>
        </w:trPr>
        <w:trHeight w:val="630" w:hRule="atLeast"/>
        <w:tc>
          <w:tcPr>
            <w:tcW w:w="1802.88" w:type="pct"/>
            <w:tcMar>
              <w:left w:w="450" w:type="dxa"/>
            </w:tcMar>
            <w:vAlign w:val="top"/>
          </w:tcPr>
          <w:p>
            <w:r>
              <w:t xml:space="preserve">B23 Preliminary analytical review</w:t>
            </w:r>
          </w:p>
        </w:tc>
        <w:trHeight w:val="630" w:hRule="atLeast"/>
        <w:tc>
          <w:tcPr>
            <w:tcW w:w="3194.36" w:type="pct"/>
            <w:vAlign w:val="top"/>
          </w:tcPr>
          <w:p>
            <w:pPr>
              <w:pStyle w:val="ListParagraph"/>
              <w:numPr>
                <w:ilvl w:val="0"/>
                <w:numId w:val="67"/>
              </w:numPr>
              <w:rPr>
                <w:lang w:val="en"/>
              </w:rPr>
              <w:bidi w:val="false"/>
            </w:pPr>
            <w:r>
              <w:t xml:space="preserve">Moved from B22. </w:t>
            </w:r>
          </w:p>
          <w:p>
            <w:pPr>
              <w:pStyle w:val="ListParagraph"/>
              <w:numPr>
                <w:ilvl w:val="0"/>
                <w:numId w:val="67"/>
              </w:numPr>
              <w:rPr>
                <w:lang w:val="en"/>
              </w:rPr>
              <w:bidi w:val="false"/>
            </w:pPr>
            <w:r>
              <w:t xml:space="preserve">Update to objective in relation to the revised ISA 240. </w:t>
            </w:r>
          </w:p>
          <w:p>
            <w:pPr>
              <w:pStyle w:val="ListParagraph"/>
              <w:numPr>
                <w:ilvl w:val="0"/>
                <w:numId w:val="67"/>
              </w:numPr>
              <w:rPr>
                <w:lang w:val="en"/>
              </w:rPr>
              <w:bidi w:val="false"/>
            </w:pPr>
            <w:r>
              <w:t xml:space="preserve">Updated guidance notes in relation to the revised ISA 240. </w:t>
            </w:r>
          </w:p>
          <w:p>
            <w:pPr>
              <w:pStyle w:val="ListParagraph"/>
              <w:numPr>
                <w:ilvl w:val="0"/>
                <w:numId w:val="67"/>
              </w:numPr>
              <w:rPr>
                <w:lang w:val="en"/>
              </w:rPr>
              <w:bidi w:val="false"/>
            </w:pPr>
            <w:r>
              <w:t xml:space="preserve">New box added to conclusions section in relation to the revised ISA 240. </w:t>
            </w:r>
          </w:p>
        </w:tc>
      </w:tr>
      <w:tr>
        <w:trPr>
          <w:trHeight w:val="630" w:hRule="atLeast"/>
        </w:trPr>
        <w:trHeight w:val="630" w:hRule="atLeast"/>
        <w:tc>
          <w:tcPr>
            <w:tcW w:w="1802.88" w:type="pct"/>
            <w:tcMar>
              <w:left w:w="450" w:type="dxa"/>
            </w:tcMar>
            <w:vAlign w:val="top"/>
          </w:tcPr>
          <w:p>
            <w:r>
              <w:t xml:space="preserve">B24 Design and implementation of controls</w:t>
            </w:r>
          </w:p>
        </w:tc>
        <w:trHeight w:val="630" w:hRule="atLeast"/>
        <w:tc>
          <w:tcPr>
            <w:tcW w:w="3194.36" w:type="pct"/>
            <w:vAlign w:val="top"/>
          </w:tcPr>
          <w:p>
            <w:pPr>
              <w:pStyle w:val="ListParagraph"/>
              <w:numPr>
                <w:ilvl w:val="0"/>
                <w:numId w:val="68"/>
              </w:numPr>
              <w:rPr>
                <w:lang w:val="en"/>
              </w:rPr>
              <w:bidi w:val="false"/>
            </w:pPr>
            <w:r>
              <w:t xml:space="preserve">New form to summarise design and implementation of controls as part of the revised ISA 315 requirements. </w:t>
            </w:r>
          </w:p>
        </w:tc>
      </w:tr>
      <w:tr>
        <w:trPr>
          <w:trHeight w:val="630" w:hRule="atLeast"/>
        </w:trPr>
        <w:trHeight w:val="630" w:hRule="atLeast"/>
        <w:tc>
          <w:tcPr>
            <w:tcW w:w="1802.88" w:type="pct"/>
            <w:tcMar>
              <w:left w:w="450" w:type="dxa"/>
            </w:tcMar>
            <w:vAlign w:val="top"/>
          </w:tcPr>
          <w:p>
            <w:r>
              <w:t xml:space="preserve">B24X Control form</w:t>
            </w:r>
          </w:p>
        </w:tc>
        <w:trHeight w:val="630" w:hRule="atLeast"/>
        <w:tc>
          <w:tcPr>
            <w:tcW w:w="3194.36" w:type="pct"/>
            <w:vAlign w:val="top"/>
          </w:tcPr>
          <w:p>
            <w:pPr>
              <w:pStyle w:val="ListParagraph"/>
              <w:numPr>
                <w:ilvl w:val="0"/>
                <w:numId w:val="69"/>
              </w:numPr>
              <w:rPr>
                <w:lang w:val="en"/>
              </w:rPr>
              <w:bidi w:val="false"/>
            </w:pPr>
            <w:r>
              <w:t xml:space="preserve">New form to document design and implementation of controls as part of the revised ISA 315 requirements. </w:t>
            </w:r>
          </w:p>
        </w:tc>
      </w:tr>
      <w:tr>
        <w:trPr>
          <w:trHeight w:val="630" w:hRule="atLeast"/>
        </w:trPr>
        <w:trHeight w:val="630" w:hRule="atLeast"/>
        <w:tc>
          <w:tcPr>
            <w:tcW w:w="1802.88" w:type="pct"/>
            <w:tcMar>
              <w:left w:w="450" w:type="dxa"/>
            </w:tcMar>
            <w:vAlign w:val="top"/>
          </w:tcPr>
          <w:p>
            <w:r>
              <w:t xml:space="preserve">B25 Materiality</w:t>
            </w:r>
          </w:p>
        </w:tc>
        <w:trHeight w:val="630" w:hRule="atLeast"/>
        <w:tc>
          <w:tcPr>
            <w:tcW w:w="3194.36" w:type="pct"/>
            <w:vAlign w:val="top"/>
          </w:tcPr>
          <w:p>
            <w:pPr>
              <w:pStyle w:val="ListParagraph"/>
              <w:numPr>
                <w:ilvl w:val="0"/>
                <w:numId w:val="70"/>
              </w:numPr>
              <w:rPr>
                <w:lang w:val="en"/>
              </w:rPr>
              <w:bidi w:val="false"/>
            </w:pPr>
            <w:r>
              <w:t xml:space="preserve">Moved from B41. </w:t>
            </w:r>
          </w:p>
        </w:tc>
      </w:tr>
      <w:tr>
        <w:trPr>
          <w:trHeight w:val="630" w:hRule="atLeast"/>
        </w:trPr>
        <w:trHeight w:val="630" w:hRule="atLeast"/>
        <w:tc>
          <w:tcPr>
            <w:tcW w:w="1802.88" w:type="pct"/>
            <w:tcMar>
              <w:left w:w="450" w:type="dxa"/>
            </w:tcMar>
            <w:vAlign w:val="top"/>
          </w:tcPr>
          <w:p>
            <w:r>
              <w:t xml:space="preserve">B27 Company searches - placeholder</w:t>
            </w:r>
          </w:p>
        </w:tc>
        <w:trHeight w:val="630" w:hRule="atLeast"/>
        <w:tc>
          <w:tcPr>
            <w:tcW w:w="3194.36" w:type="pct"/>
            <w:vAlign w:val="top"/>
          </w:tcPr>
          <w:p>
            <w:pPr>
              <w:pStyle w:val="ListParagraph"/>
              <w:numPr>
                <w:ilvl w:val="0"/>
                <w:numId w:val="71"/>
              </w:numPr>
              <w:rPr>
                <w:lang w:val="en"/>
              </w:rPr>
              <w:bidi w:val="false"/>
            </w:pPr>
            <w:r>
              <w:t xml:space="preserve">New placeholder added. </w:t>
            </w:r>
          </w:p>
        </w:tc>
      </w:tr>
      <w:tr>
        <w:trPr>
          <w:trHeight w:val="630" w:hRule="atLeast"/>
        </w:trPr>
        <w:trHeight w:val="630" w:hRule="atLeast"/>
        <w:tc>
          <w:tcPr>
            <w:tcW w:w="1802.88" w:type="pct"/>
            <w:tcMar>
              <w:left w:w="450" w:type="dxa"/>
            </w:tcMar>
            <w:vAlign w:val="top"/>
          </w:tcPr>
          <w:p>
            <w:r>
              <w:t xml:space="preserve">B30 Inherent and control risk assessment</w:t>
            </w:r>
            <w:r>
              <w:br/>
            </w:r>
          </w:p>
        </w:tc>
        <w:trHeight w:val="630" w:hRule="atLeast"/>
        <w:tc>
          <w:tcPr>
            <w:tcW w:w="3194.36" w:type="pct"/>
            <w:vAlign w:val="top"/>
          </w:tcPr>
          <w:p>
            <w:pPr>
              <w:pStyle w:val="ListParagraph"/>
              <w:numPr>
                <w:ilvl w:val="0"/>
                <w:numId w:val="72"/>
              </w:numPr>
              <w:rPr>
                <w:lang w:val="en"/>
              </w:rPr>
              <w:bidi w:val="false"/>
            </w:pPr>
            <w:r>
              <w:t xml:space="preserve">New risk assessment form to comply with the requirements of the revised ISA 315 (replaces the previous B32). </w:t>
            </w:r>
          </w:p>
        </w:tc>
      </w:tr>
      <w:tr>
        <w:trPr>
          <w:trHeight w:val="630" w:hRule="atLeast"/>
        </w:trPr>
        <w:trHeight w:val="630" w:hRule="atLeast"/>
        <w:tc>
          <w:tcPr>
            <w:tcW w:w="1802.88" w:type="pct"/>
            <w:tcMar>
              <w:left w:w="450" w:type="dxa"/>
            </w:tcMar>
            <w:vAlign w:val="top"/>
          </w:tcPr>
          <w:p>
            <w:r>
              <w:t xml:space="preserve">B31X Assertion level risk</w:t>
            </w:r>
          </w:p>
        </w:tc>
        <w:trHeight w:val="630" w:hRule="atLeast"/>
        <w:tc>
          <w:tcPr>
            <w:tcW w:w="3194.36" w:type="pct"/>
            <w:vAlign w:val="top"/>
          </w:tcPr>
          <w:p>
            <w:pPr>
              <w:pStyle w:val="ListParagraph"/>
              <w:numPr>
                <w:ilvl w:val="0"/>
                <w:numId w:val="73"/>
              </w:numPr>
              <w:rPr>
                <w:lang w:val="en"/>
              </w:rPr>
              <w:bidi w:val="false"/>
            </w:pPr>
            <w:r>
              <w:t xml:space="preserve">New form to assess risk of material misstatement at the assertion level as part of the revised ISA 315 requirements. </w:t>
            </w:r>
          </w:p>
        </w:tc>
      </w:tr>
      <w:tr>
        <w:trPr>
          <w:trHeight w:val="630" w:hRule="atLeast"/>
        </w:trPr>
        <w:trHeight w:val="630" w:hRule="atLeast"/>
        <w:tc>
          <w:tcPr>
            <w:tcW w:w="1802.88" w:type="pct"/>
            <w:tcMar>
              <w:left w:w="450" w:type="dxa"/>
            </w:tcMar>
            <w:vAlign w:val="top"/>
          </w:tcPr>
          <w:p>
            <w:r>
              <w:t xml:space="preserve">B32X Key accounting estimate</w:t>
            </w:r>
          </w:p>
        </w:tc>
        <w:trHeight w:val="630" w:hRule="atLeast"/>
        <w:tc>
          <w:tcPr>
            <w:tcW w:w="3194.36" w:type="pct"/>
            <w:vAlign w:val="top"/>
          </w:tcPr>
          <w:p>
            <w:pPr>
              <w:pStyle w:val="ListParagraph"/>
              <w:numPr>
                <w:ilvl w:val="0"/>
                <w:numId w:val="74"/>
              </w:numPr>
              <w:rPr>
                <w:lang w:val="en"/>
              </w:rPr>
              <w:bidi w:val="false"/>
            </w:pPr>
            <w:r>
              <w:t xml:space="preserve">Moved from B30X. </w:t>
            </w:r>
          </w:p>
          <w:p>
            <w:pPr>
              <w:pStyle w:val="ListParagraph"/>
              <w:numPr>
                <w:ilvl w:val="0"/>
                <w:numId w:val="74"/>
              </w:numPr>
              <w:rPr>
                <w:lang w:val="en"/>
              </w:rPr>
              <w:bidi w:val="false"/>
            </w:pPr>
            <w:r>
              <w:t xml:space="preserve">Update to guidance notes to reflect the revised ISA 315 requirements. </w:t>
            </w:r>
          </w:p>
          <w:p>
            <w:pPr>
              <w:pStyle w:val="ListParagraph"/>
              <w:numPr>
                <w:ilvl w:val="0"/>
                <w:numId w:val="74"/>
              </w:numPr>
              <w:rPr>
                <w:lang w:val="en"/>
              </w:rPr>
              <w:bidi w:val="false"/>
            </w:pPr>
            <w:r>
              <w:t xml:space="preserve">Changes to form to reflect revised risk assessment process and linkage with the new B30. </w:t>
            </w:r>
          </w:p>
        </w:tc>
      </w:tr>
      <w:tr>
        <w:trPr>
          <w:trHeight w:val="630" w:hRule="atLeast"/>
        </w:trPr>
        <w:trHeight w:val="630" w:hRule="atLeast"/>
        <w:tc>
          <w:tcPr>
            <w:tcW w:w="1802.88" w:type="pct"/>
            <w:tcMar>
              <w:left w:w="450" w:type="dxa"/>
            </w:tcMar>
            <w:vAlign w:val="top"/>
          </w:tcPr>
          <w:p>
            <w:r>
              <w:t xml:space="preserve">B33 Going concern risk assessment</w:t>
            </w:r>
          </w:p>
        </w:tc>
        <w:trHeight w:val="630" w:hRule="atLeast"/>
        <w:tc>
          <w:tcPr>
            <w:tcW w:w="3194.36" w:type="pct"/>
            <w:vAlign w:val="top"/>
          </w:tcPr>
          <w:p>
            <w:pPr>
              <w:pStyle w:val="ListParagraph"/>
              <w:numPr>
                <w:ilvl w:val="0"/>
                <w:numId w:val="75"/>
              </w:numPr>
              <w:rPr>
                <w:lang w:val="en"/>
              </w:rPr>
              <w:bidi w:val="false"/>
            </w:pPr>
            <w:r>
              <w:t xml:space="preserve">Moved from B31. </w:t>
            </w:r>
          </w:p>
          <w:p>
            <w:pPr>
              <w:pStyle w:val="ListParagraph"/>
              <w:numPr>
                <w:ilvl w:val="0"/>
                <w:numId w:val="75"/>
              </w:numPr>
              <w:rPr>
                <w:lang w:val="en"/>
              </w:rPr>
              <w:bidi w:val="false"/>
            </w:pPr>
            <w:r>
              <w:t xml:space="preserve">Consequential amendment to risk assessment procedures section for changes to risk assessment forms. </w:t>
            </w:r>
          </w:p>
        </w:tc>
      </w:tr>
      <w:tr>
        <w:trPr>
          <w:trHeight w:val="630" w:hRule="atLeast"/>
        </w:trPr>
        <w:trHeight w:val="630" w:hRule="atLeast"/>
        <w:tc>
          <w:tcPr>
            <w:tcW w:w="1802.88" w:type="pct"/>
            <w:tcMar>
              <w:left w:w="450" w:type="dxa"/>
            </w:tcMar>
            <w:vAlign w:val="top"/>
          </w:tcPr>
          <w:p>
            <w:r>
              <w:t xml:space="preserve">B34 Fraud risk assessment</w:t>
            </w:r>
          </w:p>
        </w:tc>
        <w:trHeight w:val="630" w:hRule="atLeast"/>
        <w:tc>
          <w:tcPr>
            <w:tcW w:w="3194.36" w:type="pct"/>
            <w:vAlign w:val="top"/>
          </w:tcPr>
          <w:p>
            <w:pPr>
              <w:pStyle w:val="ListParagraph"/>
              <w:numPr>
                <w:ilvl w:val="0"/>
                <w:numId w:val="76"/>
              </w:numPr>
              <w:rPr>
                <w:lang w:val="en"/>
              </w:rPr>
              <w:bidi w:val="false"/>
            </w:pPr>
            <w:r>
              <w:t xml:space="preserve">New form to summarise conditions and events that may indicate a risk of material misstatement in the financial statements due to fraud and aid compliance with the revised ISA 240. </w:t>
            </w:r>
          </w:p>
        </w:tc>
      </w:tr>
      <w:tr>
        <w:trPr>
          <w:trHeight w:val="630" w:hRule="atLeast"/>
        </w:trPr>
        <w:trHeight w:val="630" w:hRule="atLeast"/>
        <w:tc>
          <w:tcPr>
            <w:tcW w:w="1802.88" w:type="pct"/>
            <w:tcMar>
              <w:left w:w="450" w:type="dxa"/>
            </w:tcMar>
            <w:vAlign w:val="top"/>
          </w:tcPr>
          <w:p>
            <w:r>
              <w:t xml:space="preserve">B35 Audit team discussion</w:t>
            </w:r>
          </w:p>
        </w:tc>
        <w:trHeight w:val="630" w:hRule="atLeast"/>
        <w:tc>
          <w:tcPr>
            <w:tcW w:w="3194.36" w:type="pct"/>
            <w:vAlign w:val="top"/>
          </w:tcPr>
          <w:p>
            <w:pPr>
              <w:pStyle w:val="ListParagraph"/>
              <w:numPr>
                <w:ilvl w:val="0"/>
                <w:numId w:val="77"/>
              </w:numPr>
              <w:rPr>
                <w:lang w:val="en"/>
              </w:rPr>
              <w:bidi w:val="false"/>
            </w:pPr>
            <w:r>
              <w:t xml:space="preserve">Moved from B23. </w:t>
            </w:r>
          </w:p>
          <w:p>
            <w:pPr>
              <w:pStyle w:val="ListParagraph"/>
              <w:numPr>
                <w:ilvl w:val="0"/>
                <w:numId w:val="77"/>
              </w:numPr>
              <w:rPr>
                <w:lang w:val="en"/>
              </w:rPr>
              <w:bidi w:val="false"/>
            </w:pPr>
            <w:r>
              <w:t xml:space="preserve">Additional reference to APM added in guidance notes. </w:t>
            </w:r>
          </w:p>
          <w:p>
            <w:pPr>
              <w:pStyle w:val="ListParagraph"/>
              <w:numPr>
                <w:ilvl w:val="0"/>
                <w:numId w:val="77"/>
              </w:numPr>
              <w:rPr>
                <w:lang w:val="en"/>
              </w:rPr>
              <w:bidi w:val="false"/>
            </w:pPr>
            <w:r>
              <w:t xml:space="preserve">Fraud risk section updated for changes to ISA 240. </w:t>
            </w:r>
          </w:p>
          <w:p>
            <w:pPr>
              <w:pStyle w:val="ListParagraph"/>
              <w:numPr>
                <w:ilvl w:val="0"/>
                <w:numId w:val="77"/>
              </w:numPr>
              <w:rPr>
                <w:lang w:val="en"/>
              </w:rPr>
              <w:bidi w:val="false"/>
            </w:pPr>
            <w:r>
              <w:t xml:space="preserve">Approach section removed (now on B41 Audit team briefing). </w:t>
            </w:r>
          </w:p>
        </w:tc>
      </w:tr>
      <w:tr>
        <w:trPr>
          <w:trHeight w:val="630" w:hRule="atLeast"/>
        </w:trPr>
        <w:trHeight w:val="630" w:hRule="atLeast"/>
        <w:tc>
          <w:tcPr>
            <w:tcW w:w="1802.88" w:type="pct"/>
            <w:tcMar>
              <w:left w:w="450" w:type="dxa"/>
            </w:tcMar>
            <w:vAlign w:val="top"/>
          </w:tcPr>
          <w:p>
            <w:r>
              <w:t xml:space="preserve">B40 Audit plans</w:t>
            </w:r>
          </w:p>
        </w:tc>
        <w:trHeight w:val="630" w:hRule="atLeast"/>
        <w:tc>
          <w:tcPr>
            <w:tcW w:w="3194.36" w:type="pct"/>
            <w:vAlign w:val="top"/>
          </w:tcPr>
          <w:p>
            <w:pPr>
              <w:pStyle w:val="ListParagraph"/>
              <w:numPr>
                <w:ilvl w:val="0"/>
                <w:numId w:val="78"/>
              </w:numPr>
              <w:rPr>
                <w:lang w:val="en"/>
              </w:rPr>
              <w:bidi w:val="false"/>
            </w:pPr>
            <w:r>
              <w:t xml:space="preserve">Moved from B33. </w:t>
            </w:r>
          </w:p>
        </w:tc>
      </w:tr>
      <w:tr>
        <w:trPr>
          <w:trHeight w:val="630" w:hRule="atLeast"/>
        </w:trPr>
        <w:trHeight w:val="630" w:hRule="atLeast"/>
        <w:tc>
          <w:tcPr>
            <w:tcW w:w="1802.88" w:type="pct"/>
            <w:tcMar>
              <w:left w:w="450" w:type="dxa"/>
            </w:tcMar>
            <w:vAlign w:val="top"/>
          </w:tcPr>
          <w:p>
            <w:r>
              <w:t xml:space="preserve">B41 Audit team briefing</w:t>
            </w:r>
          </w:p>
        </w:tc>
        <w:trHeight w:val="630" w:hRule="atLeast"/>
        <w:tc>
          <w:tcPr>
            <w:tcW w:w="3194.36" w:type="pct"/>
            <w:vAlign w:val="top"/>
          </w:tcPr>
          <w:p>
            <w:pPr>
              <w:pStyle w:val="ListParagraph"/>
              <w:numPr>
                <w:ilvl w:val="0"/>
                <w:numId w:val="79"/>
              </w:numPr>
              <w:rPr>
                <w:lang w:val="en"/>
              </w:rPr>
              <w:bidi w:val="false"/>
            </w:pPr>
            <w:r>
              <w:t xml:space="preserve">New form to aid in updating the audit team on changes since the audit team discussion and to brief on the audit approach. </w:t>
            </w:r>
          </w:p>
        </w:tc>
      </w:tr>
      <w:tr>
        <w:trPr>
          <w:trHeight w:val="630" w:hRule="atLeast"/>
        </w:trPr>
        <w:trHeight w:val="630" w:hRule="atLeast"/>
        <w:tc>
          <w:tcPr>
            <w:tcW w:w="1802.88" w:type="pct"/>
            <w:tcMar>
              <w:left w:w="450" w:type="dxa"/>
            </w:tcMar>
            <w:vAlign w:val="top"/>
          </w:tcPr>
          <w:p>
            <w:r>
              <w:t xml:space="preserve">B50 Budget</w:t>
            </w:r>
          </w:p>
        </w:tc>
        <w:trHeight w:val="630" w:hRule="atLeast"/>
        <w:tc>
          <w:tcPr>
            <w:tcW w:w="3194.36" w:type="pct"/>
            <w:vAlign w:val="top"/>
          </w:tcPr>
          <w:p>
            <w:pPr>
              <w:pStyle w:val="ListParagraph"/>
              <w:numPr>
                <w:ilvl w:val="0"/>
                <w:numId w:val="80"/>
              </w:numPr>
              <w:rPr>
                <w:lang w:val="en"/>
              </w:rPr>
              <w:bidi w:val="false"/>
            </w:pPr>
            <w:r>
              <w:t xml:space="preserve">Moved from B61.</w:t>
            </w:r>
          </w:p>
        </w:tc>
      </w:tr>
      <w:tr>
        <w:trPr>
          <w:trHeight w:val="630" w:hRule="atLeast"/>
        </w:trPr>
        <w:trHeight w:val="630" w:hRule="atLeast"/>
        <w:tc>
          <w:tcPr>
            <w:tcW w:w="1802.88" w:type="pct"/>
            <w:tcMar>
              <w:left w:w="450" w:type="dxa"/>
            </w:tcMar>
            <w:vAlign w:val="top"/>
          </w:tcPr>
          <w:p>
            <w:r>
              <w:t xml:space="preserve">SSF Substantive sampling form</w:t>
            </w:r>
          </w:p>
        </w:tc>
        <w:trHeight w:val="630" w:hRule="atLeast"/>
        <w:tc>
          <w:tcPr>
            <w:tcW w:w="3194.36" w:type="pct"/>
            <w:vAlign w:val="top"/>
          </w:tcPr>
          <w:p>
            <w:pPr>
              <w:pStyle w:val="ListParagraph"/>
              <w:numPr>
                <w:ilvl w:val="0"/>
                <w:numId w:val="81"/>
              </w:numPr>
              <w:rPr>
                <w:lang w:val="en"/>
              </w:rPr>
              <w:bidi w:val="false"/>
            </w:pPr>
            <w:r>
              <w:t xml:space="preserve">Minor update to approach to reflect spectrum of inherent risk.</w:t>
            </w:r>
          </w:p>
        </w:tc>
      </w:tr>
      <w:tr>
        <w:trPr>
          <w:trHeight w:val="300" w:hRule="atLeast"/>
        </w:trPr>
        <w:trHeight w:val="300" w:hRule="atLeast"/>
        <w:tc>
          <w:tcPr>
            <w:tcW w:w="1802.88" w:type="pct"/>
            <w:vAlign w:val="top"/>
          </w:tcPr>
          <w:p>
            <w:r>
              <w:rPr>
                <w:b/>
              </w:rPr>
              <w:t xml:space="preserve">Current file: Planning (freeform memo) (p/c on or after 15 Dec 2021)</w:t>
            </w:r>
          </w:p>
        </w:tc>
        <w:trHeight w:val="300" w:hRule="atLeast"/>
        <w:tc>
          <w:tcPr>
            <w:tcW w:w="3194.36" w:type="pct"/>
            <w:vAlign w:val="top"/>
          </w:tcPr>
          <w:p>
            <w:r>
              <w:t xml:space="preserve"> </w:t>
            </w:r>
          </w:p>
        </w:tc>
      </w:tr>
      <w:tr>
        <w:trPr>
          <w:trHeight w:val="630" w:hRule="atLeast"/>
        </w:trPr>
        <w:trHeight w:val="630" w:hRule="atLeast"/>
        <w:tc>
          <w:tcPr>
            <w:tcW w:w="1802.88" w:type="pct"/>
            <w:tcMar>
              <w:left w:w="450" w:type="dxa"/>
            </w:tcMar>
            <w:vAlign w:val="top"/>
          </w:tcPr>
          <w:p>
            <w:r>
              <w:t xml:space="preserve">B01 Planning checklist Freeform memorandum approach</w:t>
            </w:r>
          </w:p>
        </w:tc>
        <w:trHeight w:val="630" w:hRule="atLeast"/>
        <w:tc>
          <w:tcPr>
            <w:tcW w:w="3194.36" w:type="pct"/>
            <w:vAlign w:val="top"/>
          </w:tcPr>
          <w:p>
            <w:pPr>
              <w:pStyle w:val="ListParagraph"/>
              <w:numPr>
                <w:ilvl w:val="0"/>
                <w:numId w:val="82"/>
              </w:numPr>
              <w:rPr>
                <w:lang w:val="en"/>
              </w:rPr>
              <w:bidi w:val="false"/>
            </w:pPr>
            <w:r>
              <w:t xml:space="preserve">Moved from B11. </w:t>
            </w:r>
          </w:p>
          <w:p>
            <w:pPr>
              <w:pStyle w:val="ListParagraph"/>
              <w:numPr>
                <w:ilvl w:val="0"/>
                <w:numId w:val="82"/>
              </w:numPr>
              <w:rPr>
                <w:lang w:val="en"/>
              </w:rPr>
              <w:bidi w:val="false"/>
            </w:pPr>
            <w:r>
              <w:t xml:space="preserve">Guidance notes updated to reflect ISA 315 changes. </w:t>
            </w:r>
          </w:p>
          <w:p>
            <w:pPr>
              <w:pStyle w:val="ListParagraph"/>
              <w:numPr>
                <w:ilvl w:val="0"/>
                <w:numId w:val="82"/>
              </w:numPr>
              <w:rPr>
                <w:lang w:val="en"/>
              </w:rPr>
              <w:bidi w:val="false"/>
            </w:pPr>
            <w:r>
              <w:t xml:space="preserve">First section renamed pre planning. </w:t>
            </w:r>
          </w:p>
          <w:p>
            <w:pPr>
              <w:pStyle w:val="ListParagraph"/>
              <w:numPr>
                <w:ilvl w:val="0"/>
                <w:numId w:val="82"/>
              </w:numPr>
              <w:rPr>
                <w:lang w:val="en"/>
              </w:rPr>
              <w:bidi w:val="false"/>
            </w:pPr>
            <w:r>
              <w:t xml:space="preserve">Minor amendments to items for clarity, best practice and ISA 315 changes.  </w:t>
            </w:r>
          </w:p>
          <w:p>
            <w:pPr>
              <w:pStyle w:val="ListParagraph"/>
              <w:numPr>
                <w:ilvl w:val="0"/>
                <w:numId w:val="82"/>
              </w:numPr>
              <w:rPr>
                <w:lang w:val="en"/>
              </w:rPr>
              <w:bidi w:val="false"/>
            </w:pPr>
            <w:r>
              <w:t xml:space="preserve">New item added requiring completion of new fraud risk assessment which incorporates changes to ISA 240. </w:t>
            </w:r>
          </w:p>
          <w:p>
            <w:pPr>
              <w:pStyle w:val="ListParagraph"/>
              <w:numPr>
                <w:ilvl w:val="0"/>
                <w:numId w:val="82"/>
              </w:numPr>
              <w:rPr>
                <w:lang w:val="en"/>
              </w:rPr>
              <w:bidi w:val="false"/>
            </w:pPr>
            <w:r>
              <w:t xml:space="preserve">New items added to risk assessment procedures and risk assessment / audit approach in relation to team meetings and team briefings given these have now been split in the methodology, and the team meeting section of this form has been removed as a result. </w:t>
            </w:r>
          </w:p>
        </w:tc>
      </w:tr>
      <w:tr>
        <w:trPr>
          <w:trHeight w:val="630" w:hRule="atLeast"/>
        </w:trPr>
        <w:trHeight w:val="630" w:hRule="atLeast"/>
        <w:tc>
          <w:tcPr>
            <w:tcW w:w="1802.88" w:type="pct"/>
            <w:tcMar>
              <w:left w:w="450" w:type="dxa"/>
            </w:tcMar>
            <w:vAlign w:val="top"/>
          </w:tcPr>
          <w:p>
            <w:r>
              <w:t xml:space="preserve">B05 Audit planning memorandum</w:t>
            </w:r>
          </w:p>
        </w:tc>
        <w:trHeight w:val="630" w:hRule="atLeast"/>
        <w:tc>
          <w:tcPr>
            <w:tcW w:w="3194.36" w:type="pct"/>
            <w:vAlign w:val="top"/>
          </w:tcPr>
          <w:p>
            <w:pPr>
              <w:pStyle w:val="ListParagraph"/>
              <w:numPr>
                <w:ilvl w:val="0"/>
                <w:numId w:val="83"/>
              </w:numPr>
              <w:rPr>
                <w:lang w:val="en"/>
              </w:rPr>
              <w:bidi w:val="false"/>
            </w:pPr>
            <w:r>
              <w:t xml:space="preserve">Moved from B11 and no longer shares the same reference as the planning checklist. </w:t>
            </w:r>
          </w:p>
          <w:p>
            <w:pPr>
              <w:pStyle w:val="ListParagraph"/>
              <w:numPr>
                <w:ilvl w:val="0"/>
                <w:numId w:val="83"/>
              </w:numPr>
              <w:rPr>
                <w:lang w:val="en"/>
              </w:rPr>
              <w:bidi w:val="false"/>
            </w:pPr>
            <w:r>
              <w:t xml:space="preserve">Updated to reflect revised methodology with respect to updates to ISA 315 and ISA 240. </w:t>
            </w:r>
          </w:p>
        </w:tc>
      </w:tr>
      <w:tr>
        <w:trPr>
          <w:trHeight w:val="630" w:hRule="atLeast"/>
        </w:trPr>
        <w:trHeight w:val="630" w:hRule="atLeast"/>
        <w:tc>
          <w:tcPr>
            <w:tcW w:w="1802.88" w:type="pct"/>
            <w:tcMar>
              <w:left w:w="450" w:type="dxa"/>
            </w:tcMar>
            <w:vAlign w:val="top"/>
          </w:tcPr>
          <w:p>
            <w:r>
              <w:t xml:space="preserve">B13 New client checklist</w:t>
            </w:r>
          </w:p>
        </w:tc>
        <w:trHeight w:val="630" w:hRule="atLeast"/>
        <w:tc>
          <w:tcPr>
            <w:tcW w:w="3194.36" w:type="pct"/>
            <w:vAlign w:val="top"/>
          </w:tcPr>
          <w:p>
            <w:pPr>
              <w:pStyle w:val="ListParagraph"/>
              <w:numPr>
                <w:ilvl w:val="0"/>
                <w:numId w:val="84"/>
              </w:numPr>
              <w:rPr>
                <w:lang w:val="en"/>
              </w:rPr>
              <w:bidi w:val="false"/>
            </w:pPr>
            <w:r>
              <w:t xml:space="preserve">A copy of this form has been made available in the Planning (freeform memo) section. </w:t>
            </w:r>
          </w:p>
        </w:tc>
      </w:tr>
      <w:tr>
        <w:trPr>
          <w:trHeight w:val="630" w:hRule="atLeast"/>
        </w:trPr>
        <w:trHeight w:val="630" w:hRule="atLeast"/>
        <w:tc>
          <w:tcPr>
            <w:tcW w:w="1802.88" w:type="pct"/>
            <w:tcMar>
              <w:left w:w="450" w:type="dxa"/>
            </w:tcMar>
            <w:vAlign w:val="top"/>
          </w:tcPr>
          <w:p>
            <w:r>
              <w:t xml:space="preserve">B14 Opening balances and consistency of accounting policies</w:t>
            </w:r>
          </w:p>
        </w:tc>
        <w:trHeight w:val="630" w:hRule="atLeast"/>
        <w:tc>
          <w:tcPr>
            <w:tcW w:w="3194.36" w:type="pct"/>
            <w:vAlign w:val="top"/>
          </w:tcPr>
          <w:p>
            <w:pPr>
              <w:pStyle w:val="ListParagraph"/>
              <w:numPr>
                <w:ilvl w:val="0"/>
                <w:numId w:val="85"/>
              </w:numPr>
              <w:rPr>
                <w:lang w:val="en"/>
              </w:rPr>
              <w:bidi w:val="false"/>
            </w:pPr>
            <w:r>
              <w:t xml:space="preserve">New form to assist in gathering sufficient appropriate audit evidence over opening balances and consistency of accounting policies.  </w:t>
            </w:r>
          </w:p>
        </w:tc>
      </w:tr>
      <w:tr>
        <w:trPr>
          <w:trHeight w:val="630" w:hRule="atLeast"/>
        </w:trPr>
        <w:trHeight w:val="630" w:hRule="atLeast"/>
        <w:tc>
          <w:tcPr>
            <w:tcW w:w="1802.88" w:type="pct"/>
            <w:tcMar>
              <w:left w:w="450" w:type="dxa"/>
            </w:tcMar>
            <w:vAlign w:val="top"/>
          </w:tcPr>
          <w:p>
            <w:r>
              <w:t xml:space="preserve">B21 Audit data analytics assessment</w:t>
            </w:r>
          </w:p>
        </w:tc>
        <w:trHeight w:val="630" w:hRule="atLeast"/>
        <w:tc>
          <w:tcPr>
            <w:tcW w:w="3194.36" w:type="pct"/>
            <w:vAlign w:val="top"/>
          </w:tcPr>
          <w:p>
            <w:pPr>
              <w:pStyle w:val="ListParagraph"/>
              <w:numPr>
                <w:ilvl w:val="0"/>
                <w:numId w:val="86"/>
              </w:numPr>
              <w:rPr>
                <w:lang w:val="en"/>
              </w:rPr>
              <w:bidi w:val="false"/>
            </w:pPr>
            <w:r>
              <w:t xml:space="preserve">A copy of this form has been made available in the Planning (freeform memo) section. </w:t>
            </w:r>
          </w:p>
        </w:tc>
      </w:tr>
      <w:tr>
        <w:trPr>
          <w:trHeight w:val="630" w:hRule="atLeast"/>
        </w:trPr>
        <w:trHeight w:val="630" w:hRule="atLeast"/>
        <w:tc>
          <w:tcPr>
            <w:tcW w:w="1802.88" w:type="pct"/>
            <w:tcMar>
              <w:left w:w="450" w:type="dxa"/>
            </w:tcMar>
            <w:vAlign w:val="top"/>
          </w:tcPr>
          <w:p>
            <w:r>
              <w:t xml:space="preserve">B24X Control form</w:t>
            </w:r>
          </w:p>
        </w:tc>
        <w:trHeight w:val="630" w:hRule="atLeast"/>
        <w:tc>
          <w:tcPr>
            <w:tcW w:w="3194.36" w:type="pct"/>
            <w:vAlign w:val="top"/>
          </w:tcPr>
          <w:p>
            <w:pPr>
              <w:pStyle w:val="ListParagraph"/>
              <w:numPr>
                <w:ilvl w:val="0"/>
                <w:numId w:val="87"/>
              </w:numPr>
              <w:rPr>
                <w:lang w:val="en"/>
              </w:rPr>
              <w:bidi w:val="false"/>
            </w:pPr>
            <w:r>
              <w:t xml:space="preserve">New form to document design and implementation of controls as part of the revised ISA 315 requirements. </w:t>
            </w:r>
          </w:p>
        </w:tc>
      </w:tr>
      <w:tr>
        <w:trPr>
          <w:trHeight w:val="630" w:hRule="atLeast"/>
        </w:trPr>
        <w:trHeight w:val="630" w:hRule="atLeast"/>
        <w:tc>
          <w:tcPr>
            <w:tcW w:w="1802.88" w:type="pct"/>
            <w:tcMar>
              <w:left w:w="450" w:type="dxa"/>
            </w:tcMar>
            <w:vAlign w:val="top"/>
          </w:tcPr>
          <w:p>
            <w:r>
              <w:t xml:space="preserve">B31X Assertion level risk</w:t>
            </w:r>
          </w:p>
        </w:tc>
        <w:trHeight w:val="630" w:hRule="atLeast"/>
        <w:tc>
          <w:tcPr>
            <w:tcW w:w="3194.36" w:type="pct"/>
            <w:vAlign w:val="top"/>
          </w:tcPr>
          <w:p>
            <w:pPr>
              <w:pStyle w:val="ListParagraph"/>
              <w:numPr>
                <w:ilvl w:val="0"/>
                <w:numId w:val="88"/>
              </w:numPr>
              <w:rPr>
                <w:lang w:val="en"/>
              </w:rPr>
              <w:bidi w:val="false"/>
            </w:pPr>
            <w:r>
              <w:t xml:space="preserve">New form to assess risk of material misstatement at the assertion level as part of the revised ISA 315 requirements. </w:t>
            </w:r>
          </w:p>
        </w:tc>
      </w:tr>
      <w:tr>
        <w:trPr>
          <w:trHeight w:val="630" w:hRule="atLeast"/>
        </w:trPr>
        <w:trHeight w:val="630" w:hRule="atLeast"/>
        <w:tc>
          <w:tcPr>
            <w:tcW w:w="1802.88" w:type="pct"/>
            <w:tcMar>
              <w:left w:w="450" w:type="dxa"/>
            </w:tcMar>
            <w:vAlign w:val="top"/>
          </w:tcPr>
          <w:p>
            <w:r>
              <w:t xml:space="preserve">B32X Key accounting estimate</w:t>
            </w:r>
          </w:p>
        </w:tc>
        <w:trHeight w:val="630" w:hRule="atLeast"/>
        <w:tc>
          <w:tcPr>
            <w:tcW w:w="3194.36" w:type="pct"/>
            <w:vAlign w:val="top"/>
          </w:tcPr>
          <w:p>
            <w:pPr>
              <w:pStyle w:val="ListParagraph"/>
              <w:numPr>
                <w:ilvl w:val="0"/>
                <w:numId w:val="89"/>
              </w:numPr>
              <w:rPr>
                <w:lang w:val="en"/>
              </w:rPr>
              <w:bidi w:val="false"/>
            </w:pPr>
            <w:r>
              <w:t xml:space="preserve">A copy of this form has been made available in the Planning (freeform memo) section. </w:t>
            </w:r>
          </w:p>
          <w:p>
            <w:pPr>
              <w:pStyle w:val="ListParagraph"/>
              <w:numPr>
                <w:ilvl w:val="0"/>
                <w:numId w:val="89"/>
              </w:numPr>
              <w:rPr>
                <w:lang w:val="en"/>
              </w:rPr>
              <w:bidi w:val="false"/>
            </w:pPr>
            <w:r>
              <w:t xml:space="preserve">Update to guidance notes to reflect the revised ISA 315 requirements. </w:t>
            </w:r>
          </w:p>
          <w:p>
            <w:pPr>
              <w:pStyle w:val="ListParagraph"/>
              <w:numPr>
                <w:ilvl w:val="0"/>
                <w:numId w:val="89"/>
              </w:numPr>
              <w:rPr>
                <w:lang w:val="en"/>
              </w:rPr>
              <w:bidi w:val="false"/>
            </w:pPr>
            <w:r>
              <w:t xml:space="preserve">Changes to form to reflect revised risk assessment process and linkage with the new B05. </w:t>
            </w:r>
          </w:p>
        </w:tc>
      </w:tr>
      <w:tr>
        <w:trPr>
          <w:trHeight w:val="630" w:hRule="atLeast"/>
        </w:trPr>
        <w:trHeight w:val="630" w:hRule="atLeast"/>
        <w:tc>
          <w:tcPr>
            <w:tcW w:w="1802.88" w:type="pct"/>
            <w:tcMar>
              <w:left w:w="450" w:type="dxa"/>
            </w:tcMar>
            <w:vAlign w:val="top"/>
          </w:tcPr>
          <w:p>
            <w:r>
              <w:t xml:space="preserve">B50 Budget</w:t>
            </w:r>
          </w:p>
        </w:tc>
        <w:trHeight w:val="630" w:hRule="atLeast"/>
        <w:tc>
          <w:tcPr>
            <w:tcW w:w="3194.36" w:type="pct"/>
            <w:vAlign w:val="top"/>
          </w:tcPr>
          <w:p>
            <w:pPr>
              <w:pStyle w:val="ListParagraph"/>
              <w:numPr>
                <w:ilvl w:val="0"/>
                <w:numId w:val="90"/>
              </w:numPr>
              <w:rPr>
                <w:lang w:val="en"/>
              </w:rPr>
              <w:bidi w:val="false"/>
            </w:pPr>
            <w:r>
              <w:t xml:space="preserve">Moved from B61. </w:t>
            </w:r>
          </w:p>
        </w:tc>
      </w:tr>
      <w:tr>
        <w:trPr>
          <w:trHeight w:val="630" w:hRule="atLeast"/>
        </w:trPr>
        <w:trHeight w:val="630" w:hRule="atLeast"/>
        <w:tc>
          <w:tcPr>
            <w:tcW w:w="1802.88" w:type="pct"/>
            <w:tcMar>
              <w:left w:w="450" w:type="dxa"/>
            </w:tcMar>
            <w:vAlign w:val="top"/>
          </w:tcPr>
          <w:p>
            <w:r>
              <w:t xml:space="preserve">SSF Substantive sampling form</w:t>
            </w:r>
          </w:p>
        </w:tc>
        <w:trHeight w:val="630" w:hRule="atLeast"/>
        <w:tc>
          <w:tcPr>
            <w:tcW w:w="3194.36" w:type="pct"/>
            <w:vAlign w:val="top"/>
          </w:tcPr>
          <w:p>
            <w:pPr>
              <w:pStyle w:val="ListParagraph"/>
              <w:numPr>
                <w:ilvl w:val="0"/>
                <w:numId w:val="91"/>
              </w:numPr>
              <w:rPr>
                <w:lang w:val="en"/>
              </w:rPr>
              <w:bidi w:val="false"/>
            </w:pPr>
            <w:r>
              <w:t xml:space="preserve">Minor update to approach to reflect spectrum of inherent risk. </w:t>
            </w:r>
          </w:p>
        </w:tc>
      </w:tr>
      <w:tr>
        <w:trPr>
          <w:trHeight w:val="300" w:hRule="atLeast"/>
        </w:trPr>
        <w:trHeight w:val="300" w:hRule="atLeast"/>
        <w:tc>
          <w:tcPr>
            <w:tcW w:w="1802.88" w:type="pct"/>
            <w:vAlign w:val="top"/>
          </w:tcPr>
          <w:p>
            <w:r>
              <w:rPr>
                <w:rStyle w:val="Bold"/>
              </w:rPr>
              <w:t xml:space="preserve">Current file: Audit programmes (p/c on or after 15 Dec 2021)</w:t>
            </w:r>
          </w:p>
        </w:tc>
        <w:trHeight w:val="300" w:hRule="atLeast"/>
        <w:tc>
          <w:tcPr>
            <w:tcW w:w="3194.36" w:type="pct"/>
            <w:vAlign w:val="top"/>
          </w:tcPr>
          <w:p>
            <w:r>
              <w:t xml:space="preserve"> </w:t>
            </w:r>
          </w:p>
        </w:tc>
      </w:tr>
      <w:tr>
        <w:trPr>
          <w:trHeight w:val="300" w:hRule="atLeast"/>
        </w:trPr>
        <w:trHeight w:val="300" w:hRule="atLeast"/>
        <w:tc>
          <w:tcPr>
            <w:tcW w:w="1802.88" w:type="pct"/>
            <w:tcMar>
              <w:left w:w="450" w:type="dxa"/>
            </w:tcMar>
            <w:vAlign w:val="top"/>
          </w:tcPr>
          <w:p>
            <w:r>
              <w:t xml:space="preserve">Audit programmes D to K plus Ear-marked schemes</w:t>
            </w:r>
          </w:p>
        </w:tc>
        <w:trHeight w:val="300" w:hRule="atLeast"/>
        <w:tc>
          <w:tcPr>
            <w:tcW w:w="3194.36" w:type="pct"/>
            <w:vAlign w:val="top"/>
          </w:tcPr>
          <w:p>
            <w:pPr>
              <w:pStyle w:val="ListParagraph"/>
              <w:numPr>
                <w:ilvl w:val="0"/>
                <w:numId w:val="92"/>
              </w:numPr>
              <w:rPr>
                <w:lang w:val="en"/>
              </w:rPr>
              <w:bidi w:val="false"/>
            </w:pPr>
            <w:r>
              <w:t xml:space="preserve">Minor amendment to wording of one test, highlighting the need to ensure appropriate restatement, where relevant. </w:t>
            </w:r>
          </w:p>
          <w:p>
            <w:pPr>
              <w:pStyle w:val="ListParagraph"/>
              <w:numPr>
                <w:ilvl w:val="0"/>
                <w:numId w:val="92"/>
              </w:numPr>
              <w:rPr>
                <w:lang w:val="en"/>
              </w:rPr>
              <w:bidi w:val="false"/>
            </w:pPr>
            <w:r>
              <w:t xml:space="preserve">Additional test inserted with respect to changes in accounting policies as part of best practice amendments. </w:t>
            </w:r>
          </w:p>
          <w:p>
            <w:pPr>
              <w:pStyle w:val="ListParagraph"/>
              <w:numPr>
                <w:ilvl w:val="0"/>
                <w:numId w:val="92"/>
              </w:numPr>
              <w:rPr>
                <w:lang w:val="en"/>
              </w:rPr>
              <w:bidi w:val="false"/>
            </w:pPr>
            <w:r>
              <w:t xml:space="preserve">Additional test inserted with respect to the revised ISA 240. </w:t>
            </w:r>
          </w:p>
        </w:tc>
      </w:tr>
      <w:tr>
        <w:tc>
          <w:tcPr>
            <w:tcW w:w="1802.88" w:type="pct"/>
            <w:tcMar>
              <w:left w:w="450" w:type="dxa"/>
            </w:tcMar>
            <w:vAlign w:val="top"/>
          </w:tcPr>
          <w:p>
            <w:r>
              <w:t xml:space="preserve">D Audit programme - Trustees and related parties</w:t>
            </w:r>
          </w:p>
        </w:tc>
        <w:tc>
          <w:tcPr>
            <w:tcW w:w="3194.36" w:type="pct"/>
            <w:vAlign w:val="top"/>
          </w:tcPr>
          <w:p>
            <w:pPr>
              <w:pStyle w:val="ListParagraph"/>
              <w:numPr>
                <w:ilvl w:val="0"/>
                <w:numId w:val="93"/>
              </w:numPr>
              <w:rPr>
                <w:lang w:val="en"/>
              </w:rPr>
              <w:bidi w:val="false"/>
            </w:pPr>
            <w:r>
              <w:t xml:space="preserve">Changes as per above for audit programmes D to K. </w:t>
            </w:r>
          </w:p>
          <w:p>
            <w:pPr>
              <w:pStyle w:val="ListParagraph"/>
              <w:numPr>
                <w:ilvl w:val="0"/>
                <w:numId w:val="93"/>
              </w:numPr>
              <w:rPr>
                <w:lang w:val="en"/>
              </w:rPr>
              <w:bidi w:val="false"/>
            </w:pPr>
            <w:r>
              <w:t xml:space="preserve">Minor amendment to one test in connection with related parties / transactions not previously identified or disclosed. </w:t>
            </w:r>
          </w:p>
        </w:tc>
      </w:tr>
      <w:tr>
        <w:tc>
          <w:tcPr>
            <w:tcW w:w="1802.88" w:type="pct"/>
            <w:tcMar>
              <w:left w:w="450" w:type="dxa"/>
            </w:tcMar>
            <w:vAlign w:val="top"/>
          </w:tcPr>
          <w:p>
            <w:r>
              <w:t xml:space="preserve">K Audit programme - Trial balance</w:t>
            </w:r>
          </w:p>
        </w:tc>
        <w:tc>
          <w:tcPr>
            <w:tcW w:w="3194.36" w:type="pct"/>
            <w:vAlign w:val="top"/>
          </w:tcPr>
          <w:p>
            <w:pPr>
              <w:pStyle w:val="ListParagraph"/>
              <w:numPr>
                <w:ilvl w:val="0"/>
                <w:numId w:val="94"/>
              </w:numPr>
              <w:rPr>
                <w:lang w:val="en"/>
              </w:rPr>
              <w:bidi w:val="false"/>
            </w:pPr>
            <w:r>
              <w:t xml:space="preserve">Changes as per above for audit programmes D to K. </w:t>
            </w:r>
          </w:p>
          <w:p>
            <w:pPr>
              <w:pStyle w:val="ListParagraph"/>
              <w:numPr>
                <w:ilvl w:val="0"/>
                <w:numId w:val="94"/>
              </w:numPr>
              <w:rPr>
                <w:lang w:val="en"/>
              </w:rPr>
              <w:bidi w:val="false"/>
            </w:pPr>
            <w:r>
              <w:t xml:space="preserve">A number of additional tests added in relation to the revised requirements of ISA 240. </w:t>
            </w:r>
          </w:p>
          <w:p>
            <w:pPr>
              <w:pStyle w:val="ListParagraph"/>
              <w:numPr>
                <w:ilvl w:val="0"/>
                <w:numId w:val="94"/>
              </w:numPr>
              <w:rPr>
                <w:lang w:val="en"/>
              </w:rPr>
              <w:bidi w:val="false"/>
            </w:pPr>
            <w:r>
              <w:t xml:space="preserve">Additional guidance added by way of footnotes. </w:t>
            </w:r>
          </w:p>
        </w:tc>
      </w:tr>
      <w:tr>
        <w:tc>
          <w:tcPr>
            <w:tcW w:w="1802.88" w:type="pct"/>
            <w:vAlign w:val="top"/>
          </w:tcPr>
          <w:p>
            <w:r>
              <w:rPr>
                <w:rStyle w:val="Bold"/>
              </w:rPr>
              <w:t xml:space="preserve">Current file: </w:t>
            </w:r>
            <w:r>
              <w:rPr>
                <w:rStyle w:val="Bold"/>
              </w:rPr>
              <w:t xml:space="preserve">Staff appraisal form</w:t>
            </w:r>
          </w:p>
        </w:tc>
        <w:tc>
          <w:tcPr>
            <w:tcW w:w="3194.36" w:type="pct"/>
            <w:vAlign w:val="top"/>
          </w:tcPr>
          <w:p>
            <w:r>
              <w:t xml:space="preserve"> </w:t>
            </w:r>
          </w:p>
        </w:tc>
      </w:tr>
      <w:tr>
        <w:tc>
          <w:tcPr>
            <w:tcW w:w="1802.88" w:type="pct"/>
            <w:tcMar>
              <w:left w:w="450" w:type="dxa"/>
            </w:tcMar>
            <w:vAlign w:val="top"/>
          </w:tcPr>
          <w:p>
            <w:r>
              <w:t xml:space="preserve">Staff appraisal form</w:t>
            </w:r>
          </w:p>
        </w:tc>
        <w:tc>
          <w:tcPr>
            <w:tcW w:w="3194.36" w:type="pct"/>
            <w:vAlign w:val="top"/>
          </w:tcPr>
          <w:p>
            <w:pPr>
              <w:pStyle w:val="ListParagraph"/>
              <w:numPr>
                <w:ilvl w:val="0"/>
                <w:numId w:val="95"/>
              </w:numPr>
              <w:rPr>
                <w:lang w:val="en"/>
              </w:rPr>
              <w:bidi w:val="false"/>
            </w:pPr>
            <w:r>
              <w:t xml:space="preserve">Moved into new format so it displays like other forms within the manual and is no longer treated as a separate attachment.</w:t>
            </w:r>
          </w:p>
        </w:tc>
      </w:tr>
      <w:tr>
        <w:trPr>
          <w:trHeight w:val="300" w:hRule="atLeast"/>
        </w:trPr>
        <w:trHeight w:val="300" w:hRule="atLeast"/>
        <w:tc>
          <w:tcPr>
            <w:tcW w:w="1802.88" w:type="pct"/>
            <w:vAlign w:val="top"/>
          </w:tcPr>
          <w:p>
            <w:r>
              <w:rPr>
                <w:rStyle w:val="Bold"/>
              </w:rPr>
              <w:t xml:space="preserve">Permanent file</w:t>
            </w:r>
            <w:r>
              <w:rPr>
                <w:rStyle w:val="Bold"/>
                <w:b/>
              </w:rPr>
              <w:t xml:space="preserve"> </w:t>
            </w:r>
            <w:r>
              <w:rPr>
                <w:b/>
              </w:rPr>
              <w:t xml:space="preserve">(p/c on or after 15 Dec 2021)</w:t>
            </w:r>
          </w:p>
        </w:tc>
        <w:trHeight w:val="300" w:hRule="atLeast"/>
        <w:tc>
          <w:tcPr>
            <w:tcW w:w="3194.36" w:type="pct"/>
            <w:vAlign w:val="top"/>
          </w:tcPr>
          <w:p>
            <w:r>
              <w:t xml:space="preserve"> </w:t>
            </w:r>
          </w:p>
        </w:tc>
      </w:tr>
      <w:tr>
        <w:trPr>
          <w:trHeight w:val="300" w:hRule="atLeast"/>
        </w:trPr>
        <w:trHeight w:val="300" w:hRule="atLeast"/>
        <w:tc>
          <w:tcPr>
            <w:tcW w:w="1802.88" w:type="pct"/>
            <w:tcMar>
              <w:left w:w="450" w:type="dxa"/>
            </w:tcMar>
            <w:vAlign w:val="top"/>
          </w:tcPr>
          <w:p>
            <w:r>
              <w:t xml:space="preserve">Permanent file indices</w:t>
            </w:r>
          </w:p>
        </w:tc>
        <w:trHeight w:val="300" w:hRule="atLeast"/>
        <w:tc>
          <w:tcPr>
            <w:tcW w:w="3194.36" w:type="pct"/>
            <w:vAlign w:val="top"/>
          </w:tcPr>
          <w:p>
            <w:pPr>
              <w:pStyle w:val="ListParagraph"/>
              <w:numPr>
                <w:ilvl w:val="0"/>
                <w:numId w:val="96"/>
              </w:numPr>
              <w:rPr>
                <w:lang w:val="en"/>
              </w:rPr>
              <w:bidi w:val="false"/>
            </w:pPr>
            <w:r>
              <w:t xml:space="preserve">Updated to reflect revised file structures. </w:t>
            </w:r>
          </w:p>
        </w:tc>
      </w:tr>
      <w:tr>
        <w:trPr>
          <w:trHeight w:val="630" w:hRule="atLeast"/>
        </w:trPr>
        <w:trHeight w:val="630" w:hRule="atLeast"/>
        <w:tc>
          <w:tcPr>
            <w:tcW w:w="1802.88" w:type="pct"/>
            <w:tcMar>
              <w:left w:w="450" w:type="dxa"/>
            </w:tcMar>
            <w:vAlign w:val="top"/>
          </w:tcPr>
          <w:p>
            <w:r>
              <w:t xml:space="preserve">PF1-1 The entity and its environment</w:t>
            </w:r>
          </w:p>
        </w:tc>
        <w:trHeight w:val="630" w:hRule="atLeast"/>
        <w:tc>
          <w:tcPr>
            <w:tcW w:w="3194.36" w:type="pct"/>
            <w:vAlign w:val="top"/>
          </w:tcPr>
          <w:p>
            <w:pPr>
              <w:pStyle w:val="ListParagraph"/>
              <w:numPr>
                <w:ilvl w:val="0"/>
                <w:numId w:val="97"/>
              </w:numPr>
              <w:rPr>
                <w:lang w:val="en"/>
              </w:rPr>
              <w:bidi w:val="false"/>
            </w:pPr>
            <w:r>
              <w:t xml:space="preserve">Completely revised form to address the requirements of the revised ISA 315. </w:t>
            </w:r>
          </w:p>
        </w:tc>
      </w:tr>
      <w:tr>
        <w:trPr>
          <w:trHeight w:val="630" w:hRule="atLeast"/>
        </w:trPr>
        <w:trHeight w:val="630" w:hRule="atLeast"/>
        <w:tc>
          <w:tcPr>
            <w:tcW w:w="1802.88" w:type="pct"/>
            <w:tcMar>
              <w:left w:w="450" w:type="dxa"/>
            </w:tcMar>
            <w:vAlign w:val="top"/>
          </w:tcPr>
          <w:p>
            <w:r>
              <w:t xml:space="preserve">PF1-2 The applicable financial reporting framework</w:t>
            </w:r>
          </w:p>
        </w:tc>
        <w:trHeight w:val="630" w:hRule="atLeast"/>
        <w:tc>
          <w:tcPr>
            <w:tcW w:w="3194.36" w:type="pct"/>
            <w:vAlign w:val="top"/>
          </w:tcPr>
          <w:p>
            <w:pPr>
              <w:pStyle w:val="ListParagraph"/>
              <w:numPr>
                <w:ilvl w:val="0"/>
                <w:numId w:val="98"/>
              </w:numPr>
              <w:rPr>
                <w:lang w:val="en"/>
              </w:rPr>
              <w:bidi w:val="false"/>
            </w:pPr>
            <w:r>
              <w:t xml:space="preserve">New form to aid in understanding the applicable financial reporting framework as part of the revised ISA 315 requirements. </w:t>
            </w:r>
          </w:p>
        </w:tc>
      </w:tr>
      <w:tr>
        <w:trPr>
          <w:trHeight w:val="630" w:hRule="atLeast"/>
        </w:trPr>
        <w:trHeight w:val="630" w:hRule="atLeast"/>
        <w:tc>
          <w:tcPr>
            <w:tcW w:w="1802.88" w:type="pct"/>
            <w:tcMar>
              <w:left w:w="450" w:type="dxa"/>
            </w:tcMar>
            <w:vAlign w:val="top"/>
          </w:tcPr>
          <w:p>
            <w:r>
              <w:t xml:space="preserve">PF1-3 Laws and regulations</w:t>
            </w:r>
          </w:p>
        </w:tc>
        <w:trHeight w:val="630" w:hRule="atLeast"/>
        <w:tc>
          <w:tcPr>
            <w:tcW w:w="3194.36" w:type="pct"/>
            <w:vAlign w:val="top"/>
          </w:tcPr>
          <w:p>
            <w:pPr>
              <w:pStyle w:val="ListParagraph"/>
              <w:numPr>
                <w:ilvl w:val="0"/>
                <w:numId w:val="99"/>
              </w:numPr>
              <w:rPr>
                <w:lang w:val="en"/>
              </w:rPr>
              <w:bidi w:val="false"/>
            </w:pPr>
            <w:r>
              <w:t xml:space="preserve">Minor update to guidance in footnote for consequential changes resulting from ISA 315 amendments. </w:t>
            </w:r>
          </w:p>
          <w:p>
            <w:pPr>
              <w:pStyle w:val="ListParagraph"/>
              <w:numPr>
                <w:ilvl w:val="0"/>
                <w:numId w:val="99"/>
              </w:numPr>
              <w:rPr>
                <w:lang w:val="en"/>
              </w:rPr>
              <w:bidi w:val="false"/>
            </w:pPr>
            <w:r>
              <w:t xml:space="preserve">Insertion of additional wording in relation to the yearly sign off. </w:t>
            </w:r>
          </w:p>
        </w:tc>
      </w:tr>
      <w:tr>
        <w:trPr>
          <w:trHeight w:val="630" w:hRule="atLeast"/>
        </w:trPr>
        <w:trHeight w:val="630" w:hRule="atLeast"/>
        <w:tc>
          <w:tcPr>
            <w:tcW w:w="1802.88" w:type="pct"/>
            <w:tcMar>
              <w:left w:w="450" w:type="dxa"/>
            </w:tcMar>
            <w:vAlign w:val="top"/>
          </w:tcPr>
          <w:p>
            <w:r>
              <w:t xml:space="preserve">PF1-4 Related parties</w:t>
            </w:r>
          </w:p>
        </w:tc>
        <w:trHeight w:val="630" w:hRule="atLeast"/>
        <w:tc>
          <w:tcPr>
            <w:tcW w:w="3194.36" w:type="pct"/>
            <w:vAlign w:val="top"/>
          </w:tcPr>
          <w:p>
            <w:pPr>
              <w:pStyle w:val="ListParagraph"/>
              <w:numPr>
                <w:ilvl w:val="0"/>
                <w:numId w:val="100"/>
              </w:numPr>
              <w:rPr>
                <w:lang w:val="en"/>
              </w:rPr>
              <w:bidi w:val="false"/>
            </w:pPr>
            <w:r>
              <w:t xml:space="preserve">Minor amendments to wording for consistency with the revised ISA 315. </w:t>
            </w:r>
          </w:p>
          <w:p>
            <w:pPr>
              <w:pStyle w:val="ListParagraph"/>
              <w:numPr>
                <w:ilvl w:val="0"/>
                <w:numId w:val="100"/>
              </w:numPr>
              <w:rPr>
                <w:lang w:val="en"/>
              </w:rPr>
              <w:bidi w:val="false"/>
            </w:pPr>
            <w:r>
              <w:t xml:space="preserve">Minor update to guidance in footnote for consequential changes resulting from ISA 315 amendments. </w:t>
            </w:r>
          </w:p>
          <w:p>
            <w:pPr>
              <w:pStyle w:val="ListParagraph"/>
              <w:numPr>
                <w:ilvl w:val="0"/>
                <w:numId w:val="100"/>
              </w:numPr>
              <w:rPr>
                <w:lang w:val="en"/>
              </w:rPr>
              <w:bidi w:val="false"/>
            </w:pPr>
            <w:r>
              <w:t xml:space="preserve">Insertion of additional wording in relation to the yearly sign off. </w:t>
            </w:r>
          </w:p>
        </w:tc>
      </w:tr>
      <w:tr>
        <w:trPr>
          <w:trHeight w:val="630" w:hRule="atLeast"/>
        </w:trPr>
        <w:trHeight w:val="630" w:hRule="atLeast"/>
        <w:tc>
          <w:tcPr>
            <w:tcW w:w="1802.88" w:type="pct"/>
            <w:tcMar>
              <w:left w:w="450" w:type="dxa"/>
            </w:tcMar>
            <w:vAlign w:val="top"/>
          </w:tcPr>
          <w:p>
            <w:r>
              <w:t xml:space="preserve">PF1-6 Using a service organisation</w:t>
            </w:r>
          </w:p>
        </w:tc>
        <w:trHeight w:val="630" w:hRule="atLeast"/>
        <w:tc>
          <w:tcPr>
            <w:tcW w:w="3194.36" w:type="pct"/>
            <w:vAlign w:val="top"/>
          </w:tcPr>
          <w:p>
            <w:pPr>
              <w:pStyle w:val="ListParagraph"/>
              <w:numPr>
                <w:ilvl w:val="0"/>
                <w:numId w:val="101"/>
              </w:numPr>
              <w:rPr>
                <w:lang w:val="en"/>
              </w:rPr>
              <w:bidi w:val="false"/>
            </w:pPr>
            <w:r>
              <w:t xml:space="preserve">Updates to wording and requirements of the form to improve clarity of requirements. </w:t>
            </w:r>
          </w:p>
          <w:p>
            <w:pPr>
              <w:pStyle w:val="ListParagraph"/>
              <w:numPr>
                <w:ilvl w:val="0"/>
                <w:numId w:val="101"/>
              </w:numPr>
              <w:rPr>
                <w:lang w:val="en"/>
              </w:rPr>
              <w:bidi w:val="false"/>
            </w:pPr>
            <w:r>
              <w:t xml:space="preserve">Minor update to guidance in footnote for consequential changes resulting from ISA 315 amendments. </w:t>
            </w:r>
          </w:p>
          <w:p>
            <w:pPr>
              <w:pStyle w:val="ListParagraph"/>
              <w:numPr>
                <w:ilvl w:val="0"/>
                <w:numId w:val="101"/>
              </w:numPr>
              <w:rPr>
                <w:lang w:val="en"/>
              </w:rPr>
              <w:bidi w:val="false"/>
            </w:pPr>
            <w:r>
              <w:t xml:space="preserve">Insertion of additional wording in relation to the yearly sign off. </w:t>
            </w:r>
          </w:p>
        </w:tc>
      </w:tr>
      <w:tr>
        <w:trPr>
          <w:trHeight w:val="630" w:hRule="atLeast"/>
        </w:trPr>
        <w:trHeight w:val="630" w:hRule="atLeast"/>
        <w:tc>
          <w:tcPr>
            <w:tcW w:w="1802.88" w:type="pct"/>
            <w:tcMar>
              <w:left w:w="450" w:type="dxa"/>
            </w:tcMar>
            <w:vAlign w:val="top"/>
          </w:tcPr>
          <w:p>
            <w:r>
              <w:t xml:space="preserve">PF1-7 Using the work of an expert</w:t>
            </w:r>
          </w:p>
        </w:tc>
        <w:trHeight w:val="630" w:hRule="atLeast"/>
        <w:tc>
          <w:tcPr>
            <w:tcW w:w="3194.36" w:type="pct"/>
            <w:vAlign w:val="top"/>
          </w:tcPr>
          <w:p>
            <w:pPr>
              <w:pStyle w:val="ListParagraph"/>
              <w:numPr>
                <w:ilvl w:val="0"/>
                <w:numId w:val="102"/>
              </w:numPr>
              <w:rPr>
                <w:lang w:val="en"/>
              </w:rPr>
              <w:bidi w:val="false"/>
            </w:pPr>
            <w:r>
              <w:t xml:space="preserve">Minor update to guidance in footnote for consequential changes resulting from ISA 315 amendments. </w:t>
            </w:r>
          </w:p>
          <w:p>
            <w:pPr>
              <w:pStyle w:val="ListParagraph"/>
              <w:numPr>
                <w:ilvl w:val="0"/>
                <w:numId w:val="102"/>
              </w:numPr>
              <w:rPr>
                <w:lang w:val="en"/>
              </w:rPr>
              <w:bidi w:val="false"/>
            </w:pPr>
            <w:r>
              <w:t xml:space="preserve">Insertion of additional wording in relation to the yearly sign off. </w:t>
            </w:r>
          </w:p>
        </w:tc>
      </w:tr>
      <w:tr>
        <w:trPr>
          <w:trHeight w:val="630" w:hRule="atLeast"/>
        </w:trPr>
        <w:trHeight w:val="630" w:hRule="atLeast"/>
        <w:tc>
          <w:tcPr>
            <w:tcW w:w="1802.88" w:type="pct"/>
            <w:tcMar>
              <w:left w:w="450" w:type="dxa"/>
            </w:tcMar>
            <w:vAlign w:val="top"/>
          </w:tcPr>
          <w:p>
            <w:r>
              <w:t xml:space="preserve">PF1-8 Accounting estimates</w:t>
            </w:r>
          </w:p>
        </w:tc>
        <w:trHeight w:val="630" w:hRule="atLeast"/>
        <w:tc>
          <w:tcPr>
            <w:tcW w:w="3194.36" w:type="pct"/>
            <w:vAlign w:val="top"/>
          </w:tcPr>
          <w:p>
            <w:pPr>
              <w:pStyle w:val="ListParagraph"/>
              <w:numPr>
                <w:ilvl w:val="0"/>
                <w:numId w:val="103"/>
              </w:numPr>
              <w:rPr>
                <w:lang w:val="en"/>
              </w:rPr>
              <w:bidi w:val="false"/>
            </w:pPr>
            <w:r>
              <w:t xml:space="preserve">Minor updates throughout to reflect ISA 315 amendments. </w:t>
            </w:r>
          </w:p>
          <w:p>
            <w:pPr>
              <w:pStyle w:val="ListParagraph"/>
              <w:numPr>
                <w:ilvl w:val="0"/>
                <w:numId w:val="103"/>
              </w:numPr>
              <w:rPr>
                <w:lang w:val="en"/>
              </w:rPr>
              <w:bidi w:val="false"/>
            </w:pPr>
            <w:r>
              <w:t xml:space="preserve">Minor update to guidance in footnote for consequential changes resulting from ISA 315 amendments. </w:t>
            </w:r>
          </w:p>
          <w:p>
            <w:pPr>
              <w:pStyle w:val="ListParagraph"/>
              <w:numPr>
                <w:ilvl w:val="0"/>
                <w:numId w:val="103"/>
              </w:numPr>
              <w:rPr>
                <w:lang w:val="en"/>
              </w:rPr>
              <w:bidi w:val="false"/>
            </w:pPr>
            <w:r>
              <w:t xml:space="preserve">Insertion of additional wording in relation to the yearly sign off. </w:t>
            </w:r>
          </w:p>
        </w:tc>
      </w:tr>
      <w:tr>
        <w:trPr>
          <w:trHeight w:val="630" w:hRule="atLeast"/>
        </w:trPr>
        <w:trHeight w:val="630" w:hRule="atLeast"/>
        <w:tc>
          <w:tcPr>
            <w:tcW w:w="1802.88" w:type="pct"/>
            <w:tcMar>
              <w:left w:w="450" w:type="dxa"/>
            </w:tcMar>
            <w:vAlign w:val="top"/>
          </w:tcPr>
          <w:p>
            <w:r>
              <w:t xml:space="preserve">PF1-10 Going concern</w:t>
            </w:r>
          </w:p>
        </w:tc>
        <w:trHeight w:val="630" w:hRule="atLeast"/>
        <w:tc>
          <w:tcPr>
            <w:tcW w:w="3194.36" w:type="pct"/>
            <w:vAlign w:val="top"/>
          </w:tcPr>
          <w:p>
            <w:pPr>
              <w:pStyle w:val="ListParagraph"/>
              <w:numPr>
                <w:ilvl w:val="0"/>
                <w:numId w:val="104"/>
              </w:numPr>
              <w:rPr>
                <w:lang w:val="en"/>
              </w:rPr>
              <w:bidi w:val="false"/>
            </w:pPr>
            <w:r>
              <w:t xml:space="preserve">Minor update to guidance in footnote for consequential changes resulting from ISA 315 amendments. </w:t>
            </w:r>
          </w:p>
          <w:p>
            <w:pPr>
              <w:pStyle w:val="ListParagraph"/>
              <w:numPr>
                <w:ilvl w:val="0"/>
                <w:numId w:val="104"/>
              </w:numPr>
              <w:rPr>
                <w:lang w:val="en"/>
              </w:rPr>
              <w:bidi w:val="false"/>
            </w:pPr>
            <w:r>
              <w:t xml:space="preserve">Insertion of additional wording in relation to the yearly sign off. </w:t>
            </w:r>
          </w:p>
        </w:tc>
      </w:tr>
      <w:tr>
        <w:trPr>
          <w:trHeight w:val="630" w:hRule="atLeast"/>
        </w:trPr>
        <w:trHeight w:val="630" w:hRule="atLeast"/>
        <w:tc>
          <w:tcPr>
            <w:tcW w:w="1802.88" w:type="pct"/>
            <w:tcMar>
              <w:left w:w="450" w:type="dxa"/>
            </w:tcMar>
            <w:vAlign w:val="top"/>
          </w:tcPr>
          <w:p>
            <w:r>
              <w:t xml:space="preserve">PF2-1 Systems overview</w:t>
            </w:r>
          </w:p>
        </w:tc>
        <w:trHeight w:val="630" w:hRule="atLeast"/>
        <w:tc>
          <w:tcPr>
            <w:tcW w:w="3194.36" w:type="pct"/>
            <w:vAlign w:val="top"/>
          </w:tcPr>
          <w:p>
            <w:pPr>
              <w:pStyle w:val="ListParagraph"/>
              <w:numPr>
                <w:ilvl w:val="0"/>
                <w:numId w:val="105"/>
              </w:numPr>
              <w:rPr>
                <w:lang w:val="en"/>
              </w:rPr>
              <w:bidi w:val="false"/>
            </w:pPr>
            <w:r>
              <w:t xml:space="preserve">Minor changes to notes as a result of changes to ISA 315 requirements.  </w:t>
            </w:r>
          </w:p>
          <w:p>
            <w:pPr>
              <w:pStyle w:val="ListParagraph"/>
              <w:numPr>
                <w:ilvl w:val="0"/>
                <w:numId w:val="105"/>
              </w:numPr>
              <w:rPr>
                <w:lang w:val="en"/>
              </w:rPr>
              <w:bidi w:val="false"/>
            </w:pPr>
            <w:r>
              <w:t xml:space="preserve">Minor update to guidance in footnote for consequential changes resulting from ISA 315 amendments. </w:t>
            </w:r>
          </w:p>
          <w:p>
            <w:pPr>
              <w:pStyle w:val="ListParagraph"/>
              <w:numPr>
                <w:ilvl w:val="0"/>
                <w:numId w:val="105"/>
              </w:numPr>
              <w:rPr>
                <w:lang w:val="en"/>
              </w:rPr>
              <w:bidi w:val="false"/>
            </w:pPr>
            <w:r>
              <w:t xml:space="preserve">Insertion of additional wording in relation to the yearly sign off. </w:t>
            </w:r>
          </w:p>
        </w:tc>
      </w:tr>
      <w:tr>
        <w:trPr>
          <w:trHeight w:val="630" w:hRule="atLeast"/>
        </w:trPr>
        <w:trHeight w:val="630" w:hRule="atLeast"/>
        <w:tc>
          <w:tcPr>
            <w:tcW w:w="1802.88" w:type="pct"/>
            <w:tcMar>
              <w:left w:w="450" w:type="dxa"/>
            </w:tcMar>
            <w:vAlign w:val="top"/>
          </w:tcPr>
          <w:p>
            <w:r>
              <w:t xml:space="preserve">PF2-2 Key internal controls summary</w:t>
            </w:r>
          </w:p>
        </w:tc>
        <w:trHeight w:val="630" w:hRule="atLeast"/>
        <w:tc>
          <w:tcPr>
            <w:tcW w:w="3194.36" w:type="pct"/>
            <w:vAlign w:val="top"/>
          </w:tcPr>
          <w:p>
            <w:pPr>
              <w:pStyle w:val="ListParagraph"/>
              <w:numPr>
                <w:ilvl w:val="0"/>
                <w:numId w:val="106"/>
              </w:numPr>
              <w:rPr>
                <w:lang w:val="en"/>
              </w:rPr>
              <w:bidi w:val="false"/>
            </w:pPr>
            <w:r>
              <w:t xml:space="preserve">Moved from PF2-3. </w:t>
            </w:r>
          </w:p>
          <w:p>
            <w:pPr>
              <w:pStyle w:val="ListParagraph"/>
              <w:numPr>
                <w:ilvl w:val="0"/>
                <w:numId w:val="106"/>
              </w:numPr>
              <w:rPr>
                <w:lang w:val="en"/>
              </w:rPr>
              <w:bidi w:val="false"/>
            </w:pPr>
            <w:r>
              <w:t xml:space="preserve">The presentation of the form has changed and there have been other updates to better reflect the revised flow for the revised ISA 315. </w:t>
            </w:r>
          </w:p>
        </w:tc>
      </w:tr>
      <w:tr>
        <w:trPr>
          <w:trHeight w:val="630" w:hRule="atLeast"/>
        </w:trPr>
        <w:trHeight w:val="630" w:hRule="atLeast"/>
        <w:tc>
          <w:tcPr>
            <w:tcW w:w="1802.88" w:type="pct"/>
            <w:tcMar>
              <w:left w:w="450" w:type="dxa"/>
            </w:tcMar>
            <w:vAlign w:val="top"/>
          </w:tcPr>
          <w:p>
            <w:r>
              <w:t xml:space="preserve">PF2-3 Internal control overview</w:t>
            </w:r>
          </w:p>
        </w:tc>
        <w:trHeight w:val="630" w:hRule="atLeast"/>
        <w:tc>
          <w:tcPr>
            <w:tcW w:w="3194.36" w:type="pct"/>
            <w:vAlign w:val="top"/>
          </w:tcPr>
          <w:p>
            <w:pPr>
              <w:pStyle w:val="ListParagraph"/>
              <w:numPr>
                <w:ilvl w:val="0"/>
                <w:numId w:val="107"/>
              </w:numPr>
              <w:rPr>
                <w:lang w:val="en"/>
              </w:rPr>
              <w:bidi w:val="false"/>
            </w:pPr>
            <w:r>
              <w:t xml:space="preserve">Moved from PF2-2.</w:t>
            </w:r>
          </w:p>
          <w:p>
            <w:pPr>
              <w:pStyle w:val="ListParagraph"/>
              <w:numPr>
                <w:ilvl w:val="0"/>
                <w:numId w:val="107"/>
              </w:numPr>
              <w:rPr>
                <w:lang w:val="en"/>
              </w:rPr>
              <w:bidi w:val="false"/>
            </w:pPr>
            <w:r>
              <w:t xml:space="preserve">Completely revised form to address the requirements of the revised ISA 315. </w:t>
            </w:r>
          </w:p>
        </w:tc>
      </w:tr>
      <w:tr>
        <w:trPr>
          <w:trHeight w:val="630" w:hRule="atLeast"/>
        </w:trPr>
        <w:trHeight w:val="630" w:hRule="atLeast"/>
        <w:tc>
          <w:tcPr>
            <w:tcW w:w="1802.88" w:type="pct"/>
            <w:tcMar>
              <w:left w:w="450" w:type="dxa"/>
            </w:tcMar>
            <w:vAlign w:val="top"/>
          </w:tcPr>
          <w:p>
            <w:r>
              <w:t xml:space="preserve">PF2-4 Using the work of and communication with internal auditors</w:t>
            </w:r>
          </w:p>
        </w:tc>
        <w:trHeight w:val="630" w:hRule="atLeast"/>
        <w:tc>
          <w:tcPr>
            <w:tcW w:w="3194.36" w:type="pct"/>
            <w:vAlign w:val="top"/>
          </w:tcPr>
          <w:p>
            <w:pPr>
              <w:pStyle w:val="ListParagraph"/>
              <w:numPr>
                <w:ilvl w:val="0"/>
                <w:numId w:val="108"/>
              </w:numPr>
              <w:rPr>
                <w:lang w:val="en"/>
              </w:rPr>
              <w:bidi w:val="false"/>
            </w:pPr>
            <w:r>
              <w:t xml:space="preserve">Minor change to objective due to changes in ISA 315 requirements. </w:t>
            </w:r>
          </w:p>
          <w:p>
            <w:pPr>
              <w:pStyle w:val="ListParagraph"/>
              <w:numPr>
                <w:ilvl w:val="0"/>
                <w:numId w:val="108"/>
              </w:numPr>
              <w:rPr>
                <w:lang w:val="en"/>
              </w:rPr>
              <w:bidi w:val="false"/>
            </w:pPr>
            <w:r>
              <w:t xml:space="preserve">Additional point added in first section for completeness.  </w:t>
            </w:r>
          </w:p>
          <w:p>
            <w:pPr>
              <w:pStyle w:val="ListParagraph"/>
              <w:numPr>
                <w:ilvl w:val="0"/>
                <w:numId w:val="108"/>
              </w:numPr>
              <w:rPr>
                <w:lang w:val="en"/>
              </w:rPr>
              <w:bidi w:val="false"/>
            </w:pPr>
            <w:r>
              <w:t xml:space="preserve">Minor update to guidance in footnote for consequential changes resulting from ISA 315 amendments. </w:t>
            </w:r>
          </w:p>
          <w:p>
            <w:pPr>
              <w:pStyle w:val="ListParagraph"/>
              <w:numPr>
                <w:ilvl w:val="0"/>
                <w:numId w:val="108"/>
              </w:numPr>
              <w:rPr>
                <w:lang w:val="en"/>
              </w:rPr>
              <w:bidi w:val="false"/>
            </w:pPr>
            <w:r>
              <w:t xml:space="preserve">Insertion of additional wording in relation to the yearly sign off. </w:t>
            </w:r>
          </w:p>
        </w:tc>
      </w:tr>
      <w:tr>
        <w:trPr>
          <w:trHeight w:val="630" w:hRule="atLeast"/>
        </w:trPr>
        <w:trHeight w:val="630" w:hRule="atLeast"/>
        <w:tc>
          <w:tcPr>
            <w:tcW w:w="1802.88" w:type="pct"/>
            <w:tcMar>
              <w:left w:w="450" w:type="dxa"/>
            </w:tcMar>
            <w:vAlign w:val="top"/>
          </w:tcPr>
          <w:p>
            <w:r>
              <w:t xml:space="preserve">PF3-1 New client checklist - placeholder</w:t>
            </w:r>
          </w:p>
        </w:tc>
        <w:trHeight w:val="630" w:hRule="atLeast"/>
        <w:tc>
          <w:tcPr>
            <w:tcW w:w="3194.36" w:type="pct"/>
            <w:vAlign w:val="top"/>
          </w:tcPr>
          <w:p>
            <w:pPr>
              <w:pStyle w:val="ListParagraph"/>
              <w:numPr>
                <w:ilvl w:val="0"/>
                <w:numId w:val="109"/>
              </w:numPr>
              <w:rPr>
                <w:lang w:val="en"/>
              </w:rPr>
              <w:bidi w:val="false"/>
            </w:pPr>
            <w:r>
              <w:t xml:space="preserve">New placeholder added.</w:t>
            </w:r>
          </w:p>
        </w:tc>
      </w:tr>
      <w:tr>
        <w:tc>
          <w:tcPr>
            <w:tcW w:w="1802.88" w:type="pct"/>
            <w:vAlign w:val="top"/>
          </w:tcPr>
          <w:p>
            <w:r>
              <w:rPr>
                <w:rStyle w:val="Bold"/>
              </w:rPr>
              <w:t xml:space="preserve">Supplementary forms</w:t>
            </w:r>
          </w:p>
        </w:tc>
        <w:tc>
          <w:tcPr>
            <w:tcW w:w="3194.36" w:type="pct"/>
            <w:vAlign w:val="top"/>
          </w:tcPr>
          <w:p>
            <w:r>
              <w:t xml:space="preserve"> </w:t>
            </w:r>
          </w:p>
        </w:tc>
      </w:tr>
      <w:tr>
        <w:tc>
          <w:tcPr>
            <w:tcW w:w="1802.88" w:type="pct"/>
            <w:tcMar>
              <w:left w:w="450" w:type="dxa"/>
            </w:tcMar>
            <w:vAlign w:val="top"/>
          </w:tcPr>
          <w:p>
            <w:r>
              <w:t xml:space="preserve">All supplementary forms</w:t>
            </w:r>
          </w:p>
        </w:tc>
        <w:tc>
          <w:tcPr>
            <w:tcW w:w="3194.36" w:type="pct"/>
            <w:vAlign w:val="top"/>
          </w:tcPr>
          <w:p>
            <w:pPr>
              <w:pStyle w:val="ListParagraph"/>
              <w:numPr>
                <w:ilvl w:val="0"/>
                <w:numId w:val="110"/>
              </w:numPr>
              <w:rPr>
                <w:lang w:val="en"/>
              </w:rPr>
              <w:bidi w:val="false"/>
            </w:pPr>
            <w:r>
              <w:t xml:space="preserve">Updated so they are no longer period specific.</w:t>
            </w:r>
          </w:p>
        </w:tc>
      </w:tr>
    </w:tbl>
    <w:p>
      <w:r>
        <w:br w:type="page"/>
      </w:r>
    </w:p>
    <w:p>
      <w:pPr>
        <w:pStyle w:val="Heading2"/>
        <w:rPr>
          <w:lang w:val="en"/>
        </w:rPr>
        <w:bidi w:val="false"/>
      </w:pPr>
      <w:r>
        <w:t xml:space="preserve">April 2022 - Remapping summary</w:t>
      </w:r>
    </w:p>
    <w:p>
      <w:pPr>
        <w:rPr>
          <w:lang w:val="en"/>
        </w:rPr>
        <w:bidi w:val="false"/>
      </w:pPr>
      <w:r>
        <w:t xml:space="preserve">The below table provides a list of forms in the planning section of the current file and the permanent file, and indicates where they have moved to, if applicable, as part of this update of the manual. </w:t>
      </w:r>
    </w:p>
    <w:tbl>
      <w:tblPr>
        <w:tblStyle w:val="TableGrid"/>
        <w:tblW w:w="4362.685" w:type="pct"/>
        <w:tblBorders>
          <w:top w:val="none"/>
          <w:left w:val="none"/>
          <w:bottom w:val="none"/>
          <w:right w:val="none"/>
          <w:insideH w:val="none"/>
          <w:insideV w:val="none"/>
        </w:tblBorders>
      </w:tblPr>
      <w:tblGrid>
        <w:gridCol/>
        <w:gridCol/>
        <w:gridCol/>
      </w:tblGrid>
      <w:tr>
        <w:trPr>
          <w:trHeight w:val="300" w:hRule="atLeast"/>
        </w:trPr>
        <w:trHeight w:val="150" w:hRule="atLeast"/>
        <w:tc>
          <w:tcPr>
            <w:tcW w:w="1777.225" w:type="pct"/>
            <w:vAlign w:val="center"/>
            <w:shd w:val="clear" w:color="auto" w:fill="E9E9E9"/>
          </w:tcPr>
          <w:p>
            <w:pPr>
              <w:keepNext/>
              <w:jc w:val="center"/>
            </w:pPr>
            <w:r>
              <w:rPr>
                <w:shd w:val="clear" w:fill="E9E9E9"/>
              </w:rPr>
              <w:t xml:space="preserve">Original reference and form</w:t>
            </w:r>
          </w:p>
        </w:tc>
        <w:trHeight w:val="150" w:hRule="atLeast"/>
        <w:tc>
          <w:tcPr>
            <w:tcW w:w="221.7365" w:type="pct"/>
            <w:vAlign w:val="center"/>
            <w:shd w:val="clear" w:color="auto" w:fill="E9E9E9"/>
          </w:tcPr>
          <w:p>
            <w:pPr>
              <w:keepNext/>
              <w:jc w:val="center"/>
            </w:pPr>
            <w:r>
              <w:rPr>
                <w:shd w:val="clear" w:fill="E9E9E9"/>
              </w:rPr>
              <w:t xml:space="preserve">Revised reference </w:t>
            </w:r>
          </w:p>
        </w:tc>
        <w:trHeight w:val="150" w:hRule="atLeast"/>
        <w:tc>
          <w:tcPr>
            <w:tcW w:w="2366.205" w:type="pct"/>
            <w:vAlign w:val="center"/>
            <w:shd w:val="clear" w:color="auto" w:fill="E9E9E9"/>
          </w:tcPr>
          <w:p>
            <w:pPr>
              <w:keepNext/>
              <w:jc w:val="center"/>
            </w:pPr>
            <w:r>
              <w:rPr>
                <w:shd w:val="clear" w:fill="E9E9E9"/>
              </w:rPr>
              <w:t xml:space="preserve">Comments (if applicable)</w:t>
            </w:r>
          </w:p>
        </w:tc>
      </w:tr>
      <w:tr>
        <w:trPr>
          <w:trHeight w:val="300" w:hRule="atLeast"/>
        </w:trPr>
        <w:trHeight w:val="300" w:hRule="atLeast"/>
        <w:tc>
          <w:tcPr>
            <w:tcW w:w="1777.225" w:type="pct"/>
            <w:vAlign w:val="top"/>
          </w:tcPr>
          <w:p>
            <w:r>
              <w:rPr>
                <w:rStyle w:val="Bold"/>
              </w:rPr>
              <w:t xml:space="preserve">Planning</w:t>
            </w:r>
          </w:p>
        </w:tc>
        <w:trHeight w:val="300" w:hRule="atLeast"/>
        <w:tc>
          <w:tcPr>
            <w:tcW w:w="221.7365" w:type="pct"/>
            <w:vAlign w:val="top"/>
            <w:rStyle w:val="Center"/>
          </w:tcPr>
          <w:p>
            <w:pPr>
              <w:keepNext/>
              <w:jc w:val="center"/>
            </w:pPr>
            <w:r>
              <w:t xml:space="preserve"> </w:t>
            </w:r>
          </w:p>
        </w:tc>
        <w:trHeight w:val="300" w:hRule="atLeast"/>
        <w:tc>
          <w:tcPr>
            <w:tcW w:w="2366.205" w:type="pct"/>
            <w:vAlign w:val="top"/>
          </w:tcPr>
          <w:p>
            <w:r>
              <w:t xml:space="preserve"> </w:t>
            </w:r>
          </w:p>
        </w:tc>
      </w:tr>
      <w:tr>
        <w:trPr>
          <w:trHeight w:val="615" w:hRule="atLeast"/>
        </w:trPr>
        <w:trHeight w:val="150" w:hRule="atLeast"/>
        <w:tc>
          <w:tcPr>
            <w:tcW w:w="1777.225" w:type="pct"/>
            <w:vAlign w:val="top"/>
          </w:tcPr>
          <w:p>
            <w:r>
              <w:t xml:space="preserve">B11 Planning checklist</w:t>
            </w:r>
          </w:p>
        </w:tc>
        <w:trHeight w:val="150" w:hRule="atLeast"/>
        <w:tc>
          <w:tcPr>
            <w:tcW w:w="221.7365" w:type="pct"/>
            <w:vAlign w:val="top"/>
            <w:rStyle w:val="Center"/>
          </w:tcPr>
          <w:p>
            <w:pPr>
              <w:keepNext/>
              <w:jc w:val="center"/>
            </w:pPr>
            <w:r>
              <w:t xml:space="preserve">B01</w:t>
            </w:r>
          </w:p>
        </w:tc>
        <w:trHeight w:val="150" w:hRule="atLeast"/>
        <w:tc>
          <w:tcPr>
            <w:tcW w:w="2366.205" w:type="pct"/>
            <w:vAlign w:val="top"/>
          </w:tcPr>
          <w:p>
            <w:r>
              <w:t xml:space="preserve"> </w:t>
            </w:r>
          </w:p>
        </w:tc>
      </w:tr>
      <w:tr>
        <w:trPr>
          <w:trHeight w:val="300" w:hRule="atLeast"/>
        </w:trPr>
        <w:trHeight w:val="300" w:hRule="atLeast"/>
        <w:tc>
          <w:tcPr>
            <w:tcW w:w="1777.225" w:type="pct"/>
            <w:vAlign w:val="top"/>
          </w:tcPr>
          <w:p>
            <w:r>
              <w:t xml:space="preserve">B11 Audit planning memorandum (freeform only)</w:t>
            </w:r>
          </w:p>
        </w:tc>
        <w:trHeight w:val="300" w:hRule="atLeast"/>
        <w:tc>
          <w:tcPr>
            <w:tcW w:w="221.7365" w:type="pct"/>
            <w:vAlign w:val="top"/>
            <w:rStyle w:val="Center"/>
          </w:tcPr>
          <w:p>
            <w:pPr>
              <w:keepNext/>
              <w:jc w:val="center"/>
            </w:pPr>
            <w:r>
              <w:t xml:space="preserve">B05</w:t>
            </w:r>
          </w:p>
        </w:tc>
        <w:trHeight w:val="300" w:hRule="atLeast"/>
        <w:tc>
          <w:tcPr>
            <w:tcW w:w="2366.205" w:type="pct"/>
            <w:vAlign w:val="top"/>
          </w:tcPr>
          <w:p>
            <w:r>
              <w:t xml:space="preserve"> </w:t>
            </w:r>
          </w:p>
        </w:tc>
      </w:tr>
      <w:tr>
        <w:trPr>
          <w:trHeight w:val="300" w:hRule="atLeast"/>
        </w:trPr>
        <w:trHeight w:val="300" w:hRule="atLeast"/>
        <w:tc>
          <w:tcPr>
            <w:tcW w:w="1777.225" w:type="pct"/>
            <w:vAlign w:val="top"/>
          </w:tcPr>
          <w:p>
            <w:r>
              <w:t xml:space="preserve">B12 Acceptance of appointment or reappointment</w:t>
            </w:r>
          </w:p>
        </w:tc>
        <w:trHeight w:val="300" w:hRule="atLeast"/>
        <w:tc>
          <w:tcPr>
            <w:tcW w:w="221.7365" w:type="pct"/>
            <w:vAlign w:val="top"/>
            <w:rStyle w:val="Center"/>
          </w:tcPr>
          <w:p>
            <w:pPr>
              <w:keepNext/>
              <w:jc w:val="center"/>
            </w:pPr>
            <w:r>
              <w:t xml:space="preserve">B11</w:t>
            </w:r>
          </w:p>
        </w:tc>
        <w:trHeight w:val="300" w:hRule="atLeast"/>
        <w:tc>
          <w:tcPr>
            <w:tcW w:w="2366.205" w:type="pct"/>
            <w:vAlign w:val="top"/>
          </w:tcPr>
          <w:p>
            <w:r>
              <w:t xml:space="preserve"> </w:t>
            </w:r>
          </w:p>
        </w:tc>
      </w:tr>
      <w:tr>
        <w:trPr>
          <w:trHeight w:val="300" w:hRule="atLeast"/>
        </w:trPr>
        <w:trHeight w:val="300" w:hRule="atLeast"/>
        <w:tc>
          <w:tcPr>
            <w:tcW w:w="1777.225" w:type="pct"/>
            <w:vAlign w:val="top"/>
          </w:tcPr>
          <w:p>
            <w:r>
              <w:t xml:space="preserve">B13 Compliance with the Ethical Standard</w:t>
            </w:r>
          </w:p>
        </w:tc>
        <w:trHeight w:val="300" w:hRule="atLeast"/>
        <w:tc>
          <w:tcPr>
            <w:tcW w:w="221.7365" w:type="pct"/>
            <w:vAlign w:val="top"/>
            <w:rStyle w:val="Center"/>
          </w:tcPr>
          <w:p>
            <w:pPr>
              <w:keepNext/>
              <w:jc w:val="center"/>
            </w:pPr>
            <w:r>
              <w:t xml:space="preserve">B12</w:t>
            </w:r>
          </w:p>
        </w:tc>
        <w:trHeight w:val="300" w:hRule="atLeast"/>
        <w:tc>
          <w:tcPr>
            <w:tcW w:w="2366.205" w:type="pct"/>
            <w:vAlign w:val="top"/>
          </w:tcPr>
          <w:p>
            <w:r>
              <w:t xml:space="preserve"> </w:t>
            </w:r>
          </w:p>
        </w:tc>
      </w:tr>
      <w:tr>
        <w:trPr>
          <w:trHeight w:val="300" w:hRule="atLeast"/>
        </w:trPr>
        <w:trHeight w:val="165" w:hRule="atLeast"/>
        <w:tc>
          <w:tcPr>
            <w:tcW w:w="1777.225" w:type="pct"/>
            <w:vAlign w:val="top"/>
          </w:tcPr>
          <w:p>
            <w:r>
              <w:t xml:space="preserve">B14 Preliminary engagement quality control review</w:t>
            </w:r>
          </w:p>
        </w:tc>
        <w:trHeight w:val="165" w:hRule="atLeast"/>
        <w:tc>
          <w:tcPr>
            <w:tcW w:w="221.7365" w:type="pct"/>
            <w:vAlign w:val="top"/>
            <w:rStyle w:val="Center"/>
          </w:tcPr>
          <w:p>
            <w:pPr>
              <w:keepNext/>
              <w:jc w:val="center"/>
            </w:pPr>
            <w:r>
              <w:t xml:space="preserve">B03</w:t>
            </w:r>
          </w:p>
        </w:tc>
        <w:trHeight w:val="165" w:hRule="atLeast"/>
        <w:tc>
          <w:tcPr>
            <w:tcW w:w="2366.205" w:type="pct"/>
            <w:vAlign w:val="top"/>
          </w:tcPr>
          <w:p>
            <w:r>
              <w:t xml:space="preserve">Now labelled with '(ISQC version)' with a new version '(ISQM version)' made available for adoption of the new quality management standards.</w:t>
            </w:r>
          </w:p>
        </w:tc>
      </w:tr>
      <w:tr>
        <w:trPr>
          <w:trHeight w:val="300" w:hRule="atLeast"/>
        </w:trPr>
        <w:trHeight w:val="300" w:hRule="atLeast"/>
        <w:tc>
          <w:tcPr>
            <w:tcW w:w="1777.225" w:type="pct"/>
            <w:vAlign w:val="top"/>
          </w:tcPr>
          <w:p>
            <w:r>
              <w:t xml:space="preserve">B20 Audit data analytics assessment</w:t>
            </w:r>
          </w:p>
        </w:tc>
        <w:trHeight w:val="300" w:hRule="atLeast"/>
        <w:tc>
          <w:tcPr>
            <w:tcW w:w="221.7365" w:type="pct"/>
            <w:vAlign w:val="top"/>
            <w:rStyle w:val="Center"/>
          </w:tcPr>
          <w:p>
            <w:pPr>
              <w:keepNext/>
              <w:jc w:val="center"/>
            </w:pPr>
            <w:r>
              <w:t xml:space="preserve">B21</w:t>
            </w:r>
          </w:p>
        </w:tc>
        <w:trHeight w:val="300" w:hRule="atLeast"/>
        <w:tc>
          <w:tcPr>
            <w:tcW w:w="2366.205" w:type="pct"/>
            <w:vAlign w:val="top"/>
          </w:tcPr>
          <w:p>
            <w:r>
              <w:t xml:space="preserve"> </w:t>
            </w:r>
          </w:p>
        </w:tc>
      </w:tr>
      <w:tr>
        <w:trPr>
          <w:trHeight w:val="300" w:hRule="atLeast"/>
        </w:trPr>
        <w:trHeight w:val="300" w:hRule="atLeast"/>
        <w:tc>
          <w:tcPr>
            <w:tcW w:w="1777.225" w:type="pct"/>
            <w:vAlign w:val="top"/>
          </w:tcPr>
          <w:p>
            <w:r>
              <w:t xml:space="preserve">B21-1 Communication with management</w:t>
            </w:r>
          </w:p>
        </w:tc>
        <w:trHeight w:val="300" w:hRule="atLeast"/>
        <w:tc>
          <w:tcPr>
            <w:tcW w:w="221.7365" w:type="pct"/>
            <w:vAlign w:val="top"/>
            <w:rStyle w:val="Center"/>
          </w:tcPr>
          <w:p>
            <w:pPr>
              <w:keepNext/>
              <w:jc w:val="center"/>
            </w:pPr>
            <w:r>
              <w:t xml:space="preserve">B22-1</w:t>
            </w:r>
          </w:p>
        </w:tc>
        <w:trHeight w:val="300" w:hRule="atLeast"/>
        <w:tc>
          <w:tcPr>
            <w:tcW w:w="2366.205" w:type="pct"/>
            <w:vAlign w:val="top"/>
          </w:tcPr>
          <w:p>
            <w:r>
              <w:t xml:space="preserve"> </w:t>
            </w:r>
          </w:p>
        </w:tc>
      </w:tr>
      <w:tr>
        <w:trPr>
          <w:trHeight w:val="600" w:hRule="atLeast"/>
        </w:trPr>
        <w:trHeight w:val="150" w:hRule="atLeast"/>
        <w:tc>
          <w:tcPr>
            <w:tcW w:w="1777.225" w:type="pct"/>
            <w:vAlign w:val="top"/>
          </w:tcPr>
          <w:p>
            <w:r>
              <w:t xml:space="preserve">B21-2 Agenda for communication with those charged with governance</w:t>
            </w:r>
          </w:p>
        </w:tc>
        <w:trHeight w:val="150" w:hRule="atLeast"/>
        <w:tc>
          <w:tcPr>
            <w:tcW w:w="221.7365" w:type="pct"/>
            <w:vAlign w:val="top"/>
            <w:rStyle w:val="Center"/>
          </w:tcPr>
          <w:p>
            <w:pPr>
              <w:keepNext/>
              <w:jc w:val="center"/>
            </w:pPr>
            <w:r>
              <w:t xml:space="preserve">B22-2</w:t>
            </w:r>
          </w:p>
        </w:tc>
        <w:trHeight w:val="150" w:hRule="atLeast"/>
        <w:tc>
          <w:tcPr>
            <w:tcW w:w="2366.205" w:type="pct"/>
            <w:vAlign w:val="top"/>
          </w:tcPr>
          <w:p>
            <w:r>
              <w:t xml:space="preserve"> </w:t>
            </w:r>
          </w:p>
        </w:tc>
      </w:tr>
      <w:tr>
        <w:trPr>
          <w:trHeight w:val="300" w:hRule="atLeast"/>
        </w:trPr>
        <w:trHeight w:val="300" w:hRule="atLeast"/>
        <w:tc>
          <w:tcPr>
            <w:tcW w:w="1777.225" w:type="pct"/>
            <w:vAlign w:val="top"/>
          </w:tcPr>
          <w:p>
            <w:r>
              <w:t xml:space="preserve">B22 Preliminary analytical review</w:t>
            </w:r>
          </w:p>
        </w:tc>
        <w:trHeight w:val="300" w:hRule="atLeast"/>
        <w:tc>
          <w:tcPr>
            <w:tcW w:w="221.7365" w:type="pct"/>
            <w:vAlign w:val="top"/>
            <w:rStyle w:val="Center"/>
          </w:tcPr>
          <w:p>
            <w:pPr>
              <w:keepNext/>
              <w:jc w:val="center"/>
            </w:pPr>
            <w:r>
              <w:t xml:space="preserve">B23</w:t>
            </w:r>
          </w:p>
        </w:tc>
        <w:trHeight w:val="300" w:hRule="atLeast"/>
        <w:tc>
          <w:tcPr>
            <w:tcW w:w="2366.205" w:type="pct"/>
            <w:vAlign w:val="top"/>
          </w:tcPr>
          <w:p>
            <w:r>
              <w:t xml:space="preserve"> </w:t>
            </w:r>
          </w:p>
        </w:tc>
      </w:tr>
      <w:tr>
        <w:trPr>
          <w:trHeight w:val="300" w:hRule="atLeast"/>
        </w:trPr>
        <w:trHeight w:val="300" w:hRule="atLeast"/>
        <w:tc>
          <w:tcPr>
            <w:tcW w:w="1777.225" w:type="pct"/>
            <w:vAlign w:val="top"/>
          </w:tcPr>
          <w:p>
            <w:r>
              <w:t xml:space="preserve">B23 Audit team discussion</w:t>
            </w:r>
          </w:p>
        </w:tc>
        <w:trHeight w:val="300" w:hRule="atLeast"/>
        <w:tc>
          <w:tcPr>
            <w:tcW w:w="221.7365" w:type="pct"/>
            <w:vAlign w:val="top"/>
            <w:rStyle w:val="Center"/>
          </w:tcPr>
          <w:p>
            <w:pPr>
              <w:keepNext/>
              <w:jc w:val="center"/>
            </w:pPr>
            <w:r>
              <w:t xml:space="preserve">B35</w:t>
            </w:r>
          </w:p>
        </w:tc>
        <w:trHeight w:val="300" w:hRule="atLeast"/>
        <w:tc>
          <w:tcPr>
            <w:tcW w:w="2366.205" w:type="pct"/>
            <w:vAlign w:val="top"/>
          </w:tcPr>
          <w:p>
            <w:r>
              <w:t xml:space="preserve"> </w:t>
            </w:r>
          </w:p>
        </w:tc>
      </w:tr>
      <w:tr>
        <w:trPr>
          <w:trHeight w:val="300" w:hRule="atLeast"/>
        </w:trPr>
        <w:trHeight w:val="300" w:hRule="atLeast"/>
        <w:tc>
          <w:tcPr>
            <w:tcW w:w="1777.225" w:type="pct"/>
            <w:vAlign w:val="top"/>
          </w:tcPr>
          <w:p>
            <w:r>
              <w:t xml:space="preserve">B30A-E Key accounting estimate summary</w:t>
            </w:r>
          </w:p>
        </w:tc>
        <w:trHeight w:val="300" w:hRule="atLeast"/>
        <w:tc>
          <w:tcPr>
            <w:tcW w:w="221.7365" w:type="pct"/>
            <w:vAlign w:val="top"/>
            <w:rStyle w:val="Center"/>
          </w:tcPr>
          <w:p>
            <w:pPr>
              <w:keepNext/>
              <w:jc w:val="center"/>
            </w:pPr>
            <w:r>
              <w:t xml:space="preserve">B32A-E</w:t>
            </w:r>
          </w:p>
        </w:tc>
        <w:trHeight w:val="300" w:hRule="atLeast"/>
        <w:tc>
          <w:tcPr>
            <w:tcW w:w="2366.205" w:type="pct"/>
            <w:vAlign w:val="top"/>
          </w:tcPr>
          <w:p>
            <w:r>
              <w:t xml:space="preserve">Renamed 'Key accounting estimate'. </w:t>
            </w:r>
          </w:p>
        </w:tc>
      </w:tr>
      <w:tr>
        <w:trPr>
          <w:trHeight w:val="300" w:hRule="atLeast"/>
        </w:trPr>
        <w:trHeight w:val="300" w:hRule="atLeast"/>
        <w:tc>
          <w:tcPr>
            <w:tcW w:w="1777.225" w:type="pct"/>
            <w:vAlign w:val="top"/>
          </w:tcPr>
          <w:p>
            <w:r>
              <w:t xml:space="preserve">B31 Going concern risk assessment</w:t>
            </w:r>
          </w:p>
        </w:tc>
        <w:trHeight w:val="300" w:hRule="atLeast"/>
        <w:tc>
          <w:tcPr>
            <w:tcW w:w="221.7365" w:type="pct"/>
            <w:vAlign w:val="top"/>
            <w:rStyle w:val="Center"/>
          </w:tcPr>
          <w:p>
            <w:pPr>
              <w:keepNext/>
              <w:jc w:val="center"/>
            </w:pPr>
            <w:r>
              <w:t xml:space="preserve">B33</w:t>
            </w:r>
          </w:p>
        </w:tc>
        <w:trHeight w:val="300" w:hRule="atLeast"/>
        <w:tc>
          <w:tcPr>
            <w:tcW w:w="2366.205" w:type="pct"/>
            <w:vAlign w:val="top"/>
          </w:tcPr>
          <w:p>
            <w:r>
              <w:t xml:space="preserve"> </w:t>
            </w:r>
          </w:p>
        </w:tc>
      </w:tr>
      <w:tr>
        <w:trPr>
          <w:trHeight w:val="300" w:hRule="atLeast"/>
        </w:trPr>
        <w:trHeight w:val="300" w:hRule="atLeast"/>
        <w:tc>
          <w:tcPr>
            <w:tcW w:w="1777.225" w:type="pct"/>
            <w:vAlign w:val="top"/>
          </w:tcPr>
          <w:p>
            <w:r>
              <w:t xml:space="preserve">B32 Risk assessment</w:t>
            </w:r>
          </w:p>
        </w:tc>
        <w:trHeight w:val="300" w:hRule="atLeast"/>
        <w:tc>
          <w:tcPr>
            <w:tcW w:w="221.7365" w:type="pct"/>
            <w:vAlign w:val="top"/>
            <w:rStyle w:val="Center"/>
          </w:tcPr>
          <w:p>
            <w:pPr>
              <w:keepNext/>
              <w:jc w:val="center"/>
            </w:pPr>
            <w:r>
              <w:t xml:space="preserve">B30</w:t>
            </w:r>
          </w:p>
        </w:tc>
        <w:trHeight w:val="300" w:hRule="atLeast"/>
        <w:tc>
          <w:tcPr>
            <w:tcW w:w="2366.205" w:type="pct"/>
            <w:vAlign w:val="top"/>
          </w:tcPr>
          <w:p>
            <w:r>
              <w:t xml:space="preserve"> </w:t>
            </w:r>
          </w:p>
        </w:tc>
      </w:tr>
      <w:tr>
        <w:trPr>
          <w:trHeight w:val="300" w:hRule="atLeast"/>
        </w:trPr>
        <w:trHeight w:val="300" w:hRule="atLeast"/>
        <w:tc>
          <w:tcPr>
            <w:tcW w:w="1777.225" w:type="pct"/>
            <w:vAlign w:val="top"/>
          </w:tcPr>
          <w:p>
            <w:r>
              <w:t xml:space="preserve">B33 Audit plans</w:t>
            </w:r>
          </w:p>
        </w:tc>
        <w:trHeight w:val="300" w:hRule="atLeast"/>
        <w:tc>
          <w:tcPr>
            <w:tcW w:w="221.7365" w:type="pct"/>
            <w:vAlign w:val="top"/>
            <w:rStyle w:val="Center"/>
          </w:tcPr>
          <w:p>
            <w:pPr>
              <w:keepNext/>
              <w:jc w:val="center"/>
            </w:pPr>
            <w:r>
              <w:t xml:space="preserve">B40</w:t>
            </w:r>
          </w:p>
        </w:tc>
        <w:trHeight w:val="300" w:hRule="atLeast"/>
        <w:tc>
          <w:tcPr>
            <w:tcW w:w="2366.205" w:type="pct"/>
            <w:vAlign w:val="top"/>
          </w:tcPr>
          <w:p>
            <w:r>
              <w:t xml:space="preserve"> </w:t>
            </w:r>
          </w:p>
        </w:tc>
      </w:tr>
      <w:tr>
        <w:trPr>
          <w:trHeight w:val="300" w:hRule="atLeast"/>
        </w:trPr>
        <w:trHeight w:val="300" w:hRule="atLeast"/>
        <w:tc>
          <w:tcPr>
            <w:tcW w:w="1777.225" w:type="pct"/>
            <w:vAlign w:val="top"/>
          </w:tcPr>
          <w:p>
            <w:r>
              <w:t xml:space="preserve">B41 Materiality</w:t>
            </w:r>
          </w:p>
        </w:tc>
        <w:trHeight w:val="300" w:hRule="atLeast"/>
        <w:tc>
          <w:tcPr>
            <w:tcW w:w="221.7365" w:type="pct"/>
            <w:vAlign w:val="top"/>
            <w:rStyle w:val="Center"/>
          </w:tcPr>
          <w:p>
            <w:pPr>
              <w:keepNext/>
              <w:jc w:val="center"/>
            </w:pPr>
            <w:r>
              <w:t xml:space="preserve">B25</w:t>
            </w:r>
          </w:p>
        </w:tc>
        <w:trHeight w:val="300" w:hRule="atLeast"/>
        <w:tc>
          <w:tcPr>
            <w:tcW w:w="2366.205" w:type="pct"/>
            <w:vAlign w:val="top"/>
          </w:tcPr>
          <w:p>
            <w:r>
              <w:t xml:space="preserve"> </w:t>
            </w:r>
          </w:p>
        </w:tc>
      </w:tr>
      <w:tr>
        <w:trPr>
          <w:trHeight w:val="300" w:hRule="atLeast"/>
        </w:trPr>
        <w:trHeight w:val="300" w:hRule="atLeast"/>
        <w:tc>
          <w:tcPr>
            <w:tcW w:w="1777.225" w:type="pct"/>
            <w:vAlign w:val="top"/>
          </w:tcPr>
          <w:p>
            <w:r>
              <w:t xml:space="preserve">B61 Budget</w:t>
            </w:r>
          </w:p>
        </w:tc>
        <w:trHeight w:val="300" w:hRule="atLeast"/>
        <w:tc>
          <w:tcPr>
            <w:tcW w:w="221.7365" w:type="pct"/>
            <w:vAlign w:val="top"/>
            <w:rStyle w:val="Center"/>
          </w:tcPr>
          <w:p>
            <w:pPr>
              <w:keepNext/>
              <w:jc w:val="center"/>
            </w:pPr>
            <w:r>
              <w:t xml:space="preserve">B50</w:t>
            </w:r>
          </w:p>
        </w:tc>
        <w:trHeight w:val="300" w:hRule="atLeast"/>
        <w:tc>
          <w:tcPr>
            <w:tcW w:w="2366.205" w:type="pct"/>
            <w:vAlign w:val="top"/>
          </w:tcPr>
          <w:p>
            <w:r>
              <w:t xml:space="preserve"> </w:t>
            </w:r>
          </w:p>
        </w:tc>
      </w:tr>
      <w:tr>
        <w:trPr>
          <w:trHeight w:val="300" w:hRule="atLeast"/>
        </w:trPr>
        <w:trHeight w:val="300" w:hRule="atLeast"/>
        <w:tc>
          <w:tcPr>
            <w:tcW w:w="1777.225" w:type="pct"/>
            <w:vAlign w:val="top"/>
          </w:tcPr>
          <w:p>
            <w:r>
              <w:t xml:space="preserve">CSF Test of controls sampling form</w:t>
            </w:r>
          </w:p>
        </w:tc>
        <w:trHeight w:val="300" w:hRule="atLeast"/>
        <w:tc>
          <w:tcPr>
            <w:tcW w:w="221.7365" w:type="pct"/>
            <w:vAlign w:val="top"/>
            <w:rStyle w:val="Center"/>
          </w:tcPr>
          <w:p>
            <w:pPr>
              <w:keepNext/>
              <w:jc w:val="center"/>
            </w:pPr>
            <w:r>
              <w:t xml:space="preserve">No Change</w:t>
            </w:r>
          </w:p>
        </w:tc>
        <w:trHeight w:val="300" w:hRule="atLeast"/>
        <w:tc>
          <w:tcPr>
            <w:tcW w:w="2366.205" w:type="pct"/>
            <w:vAlign w:val="top"/>
          </w:tcPr>
          <w:p>
            <w:r>
              <w:t xml:space="preserve"> </w:t>
            </w:r>
          </w:p>
        </w:tc>
      </w:tr>
      <w:tr>
        <w:trPr>
          <w:trHeight w:val="300" w:hRule="atLeast"/>
        </w:trPr>
        <w:trHeight w:val="300" w:hRule="atLeast"/>
        <w:tc>
          <w:tcPr>
            <w:tcW w:w="1777.225" w:type="pct"/>
            <w:vAlign w:val="top"/>
          </w:tcPr>
          <w:p>
            <w:r>
              <w:t xml:space="preserve">SSF Substantive sampling form</w:t>
            </w:r>
          </w:p>
        </w:tc>
        <w:trHeight w:val="300" w:hRule="atLeast"/>
        <w:tc>
          <w:tcPr>
            <w:tcW w:w="221.7365" w:type="pct"/>
            <w:vAlign w:val="top"/>
            <w:rStyle w:val="Center"/>
          </w:tcPr>
          <w:p>
            <w:pPr>
              <w:keepNext/>
              <w:jc w:val="center"/>
            </w:pPr>
            <w:r>
              <w:t xml:space="preserve">No Change</w:t>
            </w:r>
          </w:p>
        </w:tc>
        <w:trHeight w:val="300" w:hRule="atLeast"/>
        <w:tc>
          <w:tcPr>
            <w:tcW w:w="2366.205" w:type="pct"/>
            <w:vAlign w:val="top"/>
          </w:tcPr>
          <w:p>
            <w:r>
              <w:t xml:space="preserve"> </w:t>
            </w:r>
          </w:p>
        </w:tc>
      </w:tr>
      <w:tr>
        <w:tc>
          <w:tcPr>
            <w:tcW w:w="1777.225" w:type="pct"/>
            <w:vAlign w:val="top"/>
          </w:tcPr>
          <w:p>
            <w:r>
              <w:rPr>
                <w:rStyle w:val="Bold"/>
              </w:rPr>
              <w:t xml:space="preserve"> </w:t>
            </w:r>
          </w:p>
        </w:tc>
        <w:tc>
          <w:tcPr>
            <w:tcW w:w="221.7365" w:type="pct"/>
            <w:tcMar>
              <w:left w:w="450" w:type="dxa"/>
            </w:tcMar>
            <w:vAlign w:val="top"/>
          </w:tcPr>
          <w:p>
            <w:r>
              <w:t xml:space="preserve"> </w:t>
            </w:r>
          </w:p>
        </w:tc>
        <w:tc>
          <w:tcPr>
            <w:tcW w:w="2366.205" w:type="pct"/>
            <w:vAlign w:val="top"/>
          </w:tcPr>
          <w:p>
            <w:r>
              <w:t xml:space="preserve"> </w:t>
            </w:r>
          </w:p>
        </w:tc>
      </w:tr>
      <w:tr>
        <w:trPr>
          <w:trHeight w:val="300" w:hRule="atLeast"/>
        </w:trPr>
        <w:trHeight w:val="300" w:hRule="atLeast"/>
        <w:tc>
          <w:tcPr>
            <w:tcW w:w="1777.225" w:type="pct"/>
            <w:vAlign w:val="top"/>
          </w:tcPr>
          <w:p>
            <w:r>
              <w:rPr>
                <w:rStyle w:val="Bold"/>
              </w:rPr>
              <w:t xml:space="preserve">Permanent file</w:t>
            </w:r>
          </w:p>
        </w:tc>
        <w:trHeight w:val="300" w:hRule="atLeast"/>
        <w:tc>
          <w:tcPr>
            <w:tcW w:w="221.7365" w:type="pct"/>
            <w:tcMar>
              <w:left w:w="450" w:type="dxa"/>
            </w:tcMar>
            <w:vAlign w:val="top"/>
            <w:rStyle w:val="Center"/>
          </w:tcPr>
          <w:p>
            <w:pPr>
              <w:keepNext/>
              <w:jc w:val="center"/>
            </w:pPr>
            <w:r>
              <w:t xml:space="preserve"> </w:t>
            </w:r>
          </w:p>
        </w:tc>
        <w:trHeight w:val="300" w:hRule="atLeast"/>
        <w:tc>
          <w:tcPr>
            <w:tcW w:w="2366.205" w:type="pct"/>
            <w:vAlign w:val="top"/>
          </w:tcPr>
          <w:p>
            <w:r>
              <w:t xml:space="preserve"> </w:t>
            </w:r>
          </w:p>
        </w:tc>
      </w:tr>
      <w:tr>
        <w:trPr>
          <w:trHeight w:val="300" w:hRule="atLeast"/>
        </w:trPr>
        <w:trHeight w:val="300" w:hRule="atLeast"/>
        <w:tc>
          <w:tcPr>
            <w:tcW w:w="1777.225" w:type="pct"/>
            <w:vAlign w:val="top"/>
          </w:tcPr>
          <w:p>
            <w:r>
              <w:t xml:space="preserve">PF1- New client checklist</w:t>
            </w:r>
          </w:p>
        </w:tc>
        <w:trHeight w:val="300" w:hRule="atLeast"/>
        <w:tc>
          <w:tcPr>
            <w:tcW w:w="221.7365" w:type="pct"/>
            <w:vAlign w:val="top"/>
            <w:rStyle w:val="Center"/>
          </w:tcPr>
          <w:p>
            <w:pPr>
              <w:keepNext/>
              <w:jc w:val="center"/>
            </w:pPr>
            <w:r>
              <w:t xml:space="preserve">B13 / PF3-1</w:t>
            </w:r>
          </w:p>
        </w:tc>
        <w:trHeight w:val="300" w:hRule="atLeast"/>
        <w:tc>
          <w:tcPr>
            <w:tcW w:w="2366.205" w:type="pct"/>
            <w:vAlign w:val="top"/>
          </w:tcPr>
          <w:p>
            <w:r>
              <w:t xml:space="preserve"> </w:t>
            </w:r>
          </w:p>
        </w:tc>
      </w:tr>
      <w:tr>
        <w:trPr>
          <w:trHeight w:val="300" w:hRule="atLeast"/>
        </w:trPr>
        <w:trHeight w:val="300" w:hRule="atLeast"/>
        <w:tc>
          <w:tcPr>
            <w:tcW w:w="1777.225" w:type="pct"/>
            <w:vAlign w:val="top"/>
          </w:tcPr>
          <w:p>
            <w:r>
              <w:t xml:space="preserve">PF1-1 The entity and its environment</w:t>
            </w:r>
          </w:p>
        </w:tc>
        <w:trHeight w:val="300" w:hRule="atLeast"/>
        <w:tc>
          <w:tcPr>
            <w:tcW w:w="221.7365" w:type="pct"/>
            <w:vAlign w:val="top"/>
            <w:rStyle w:val="Center"/>
          </w:tcPr>
          <w:p>
            <w:pPr>
              <w:keepNext/>
              <w:jc w:val="center"/>
            </w:pPr>
            <w:r>
              <w:t xml:space="preserve">No Change</w:t>
            </w:r>
          </w:p>
        </w:tc>
        <w:trHeight w:val="300" w:hRule="atLeast"/>
        <w:tc>
          <w:tcPr>
            <w:tcW w:w="2366.205" w:type="pct"/>
            <w:vAlign w:val="top"/>
          </w:tcPr>
          <w:p>
            <w:r>
              <w:t xml:space="preserve"> </w:t>
            </w:r>
          </w:p>
        </w:tc>
      </w:tr>
      <w:tr>
        <w:trPr>
          <w:trHeight w:val="300" w:hRule="atLeast"/>
        </w:trPr>
        <w:trHeight w:val="300" w:hRule="atLeast"/>
        <w:tc>
          <w:tcPr>
            <w:tcW w:w="1777.225" w:type="pct"/>
            <w:vAlign w:val="top"/>
          </w:tcPr>
          <w:p>
            <w:r>
              <w:t xml:space="preserve">PF1-3 Laws and regulations</w:t>
            </w:r>
          </w:p>
        </w:tc>
        <w:trHeight w:val="300" w:hRule="atLeast"/>
        <w:tc>
          <w:tcPr>
            <w:tcW w:w="221.7365" w:type="pct"/>
            <w:vAlign w:val="top"/>
            <w:rStyle w:val="Center"/>
          </w:tcPr>
          <w:p>
            <w:pPr>
              <w:keepNext/>
              <w:jc w:val="center"/>
            </w:pPr>
            <w:r>
              <w:t xml:space="preserve">No Change</w:t>
            </w:r>
          </w:p>
        </w:tc>
        <w:trHeight w:val="300" w:hRule="atLeast"/>
        <w:tc>
          <w:tcPr>
            <w:tcW w:w="2366.205" w:type="pct"/>
            <w:vAlign w:val="top"/>
          </w:tcPr>
          <w:p>
            <w:r>
              <w:t xml:space="preserve"> </w:t>
            </w:r>
          </w:p>
        </w:tc>
      </w:tr>
      <w:tr>
        <w:trPr>
          <w:trHeight w:val="300" w:hRule="atLeast"/>
        </w:trPr>
        <w:trHeight w:val="300" w:hRule="atLeast"/>
        <w:tc>
          <w:tcPr>
            <w:tcW w:w="1777.225" w:type="pct"/>
            <w:vAlign w:val="top"/>
          </w:tcPr>
          <w:p>
            <w:r>
              <w:t xml:space="preserve">PF1-4 Related parties</w:t>
            </w:r>
          </w:p>
        </w:tc>
        <w:trHeight w:val="300" w:hRule="atLeast"/>
        <w:tc>
          <w:tcPr>
            <w:tcW w:w="221.7365" w:type="pct"/>
            <w:vAlign w:val="top"/>
            <w:rStyle w:val="Center"/>
          </w:tcPr>
          <w:p>
            <w:pPr>
              <w:keepNext/>
              <w:jc w:val="center"/>
            </w:pPr>
            <w:r>
              <w:t xml:space="preserve">No Change</w:t>
            </w:r>
          </w:p>
        </w:tc>
        <w:trHeight w:val="300" w:hRule="atLeast"/>
        <w:tc>
          <w:tcPr>
            <w:tcW w:w="2366.205" w:type="pct"/>
            <w:vAlign w:val="top"/>
          </w:tcPr>
          <w:p>
            <w:r>
              <w:t xml:space="preserve"> </w:t>
            </w:r>
          </w:p>
        </w:tc>
      </w:tr>
      <w:tr>
        <w:trPr>
          <w:trHeight w:val="300" w:hRule="atLeast"/>
        </w:trPr>
        <w:trHeight w:val="300" w:hRule="atLeast"/>
        <w:tc>
          <w:tcPr>
            <w:tcW w:w="1777.225" w:type="pct"/>
            <w:vAlign w:val="top"/>
          </w:tcPr>
          <w:p>
            <w:r>
              <w:t xml:space="preserve">PF1-6 Using a service organisation</w:t>
            </w:r>
          </w:p>
        </w:tc>
        <w:trHeight w:val="300" w:hRule="atLeast"/>
        <w:tc>
          <w:tcPr>
            <w:tcW w:w="221.7365" w:type="pct"/>
            <w:vAlign w:val="top"/>
            <w:rStyle w:val="Center"/>
          </w:tcPr>
          <w:p>
            <w:pPr>
              <w:keepNext/>
              <w:jc w:val="center"/>
            </w:pPr>
            <w:r>
              <w:t xml:space="preserve">No Change</w:t>
            </w:r>
          </w:p>
        </w:tc>
        <w:trHeight w:val="300" w:hRule="atLeast"/>
        <w:tc>
          <w:tcPr>
            <w:tcW w:w="2366.205" w:type="pct"/>
            <w:vAlign w:val="top"/>
          </w:tcPr>
          <w:p>
            <w:r>
              <w:t xml:space="preserve"> </w:t>
            </w:r>
          </w:p>
        </w:tc>
      </w:tr>
      <w:tr>
        <w:trPr>
          <w:trHeight w:val="300" w:hRule="atLeast"/>
        </w:trPr>
        <w:trHeight w:val="300" w:hRule="atLeast"/>
        <w:tc>
          <w:tcPr>
            <w:tcW w:w="1777.225" w:type="pct"/>
            <w:vAlign w:val="top"/>
          </w:tcPr>
          <w:p>
            <w:r>
              <w:t xml:space="preserve">PF1-7 Using the work of an expert</w:t>
            </w:r>
          </w:p>
        </w:tc>
        <w:trHeight w:val="300" w:hRule="atLeast"/>
        <w:tc>
          <w:tcPr>
            <w:tcW w:w="221.7365" w:type="pct"/>
            <w:vAlign w:val="top"/>
            <w:rStyle w:val="Center"/>
          </w:tcPr>
          <w:p>
            <w:pPr>
              <w:keepNext/>
              <w:jc w:val="center"/>
            </w:pPr>
            <w:r>
              <w:t xml:space="preserve">No Change</w:t>
            </w:r>
          </w:p>
        </w:tc>
        <w:trHeight w:val="300" w:hRule="atLeast"/>
        <w:tc>
          <w:tcPr>
            <w:tcW w:w="2366.205" w:type="pct"/>
            <w:vAlign w:val="top"/>
          </w:tcPr>
          <w:p>
            <w:r>
              <w:t xml:space="preserve"> </w:t>
            </w:r>
          </w:p>
        </w:tc>
      </w:tr>
      <w:tr>
        <w:trPr>
          <w:trHeight w:val="300" w:hRule="atLeast"/>
        </w:trPr>
        <w:trHeight w:val="300" w:hRule="atLeast"/>
        <w:tc>
          <w:tcPr>
            <w:tcW w:w="1777.225" w:type="pct"/>
            <w:vAlign w:val="top"/>
          </w:tcPr>
          <w:p>
            <w:r>
              <w:t xml:space="preserve">PF1-8 Accounting estimates</w:t>
            </w:r>
          </w:p>
        </w:tc>
        <w:trHeight w:val="300" w:hRule="atLeast"/>
        <w:tc>
          <w:tcPr>
            <w:tcW w:w="221.7365" w:type="pct"/>
            <w:vAlign w:val="top"/>
            <w:rStyle w:val="Center"/>
          </w:tcPr>
          <w:p>
            <w:pPr>
              <w:keepNext/>
              <w:jc w:val="center"/>
            </w:pPr>
            <w:r>
              <w:t xml:space="preserve">No Change</w:t>
            </w:r>
          </w:p>
        </w:tc>
        <w:trHeight w:val="300" w:hRule="atLeast"/>
        <w:tc>
          <w:tcPr>
            <w:tcW w:w="2366.205" w:type="pct"/>
            <w:vAlign w:val="top"/>
          </w:tcPr>
          <w:p>
            <w:r>
              <w:t xml:space="preserve"> </w:t>
            </w:r>
          </w:p>
        </w:tc>
      </w:tr>
      <w:tr>
        <w:trPr>
          <w:trHeight w:val="300" w:hRule="atLeast"/>
        </w:trPr>
        <w:trHeight w:val="300" w:hRule="atLeast"/>
        <w:tc>
          <w:tcPr>
            <w:tcW w:w="1777.225" w:type="pct"/>
            <w:vAlign w:val="top"/>
          </w:tcPr>
          <w:p>
            <w:r>
              <w:t xml:space="preserve">PF1-10 Going concern</w:t>
            </w:r>
          </w:p>
        </w:tc>
        <w:trHeight w:val="300" w:hRule="atLeast"/>
        <w:tc>
          <w:tcPr>
            <w:tcW w:w="221.7365" w:type="pct"/>
            <w:vAlign w:val="top"/>
            <w:rStyle w:val="Center"/>
          </w:tcPr>
          <w:p>
            <w:pPr>
              <w:keepNext/>
              <w:jc w:val="center"/>
            </w:pPr>
            <w:r>
              <w:t xml:space="preserve">No Change</w:t>
            </w:r>
          </w:p>
        </w:tc>
        <w:trHeight w:val="300" w:hRule="atLeast"/>
        <w:tc>
          <w:tcPr>
            <w:tcW w:w="2366.205" w:type="pct"/>
            <w:vAlign w:val="top"/>
          </w:tcPr>
          <w:p>
            <w:r>
              <w:t xml:space="preserve"> </w:t>
            </w:r>
          </w:p>
        </w:tc>
      </w:tr>
      <w:tr>
        <w:trPr>
          <w:trHeight w:val="300" w:hRule="atLeast"/>
        </w:trPr>
        <w:trHeight w:val="300" w:hRule="atLeast"/>
        <w:tc>
          <w:tcPr>
            <w:tcW w:w="1777.225" w:type="pct"/>
            <w:vAlign w:val="top"/>
          </w:tcPr>
          <w:p>
            <w:r>
              <w:t xml:space="preserve">PF2-1 Systems overview</w:t>
            </w:r>
          </w:p>
        </w:tc>
        <w:trHeight w:val="300" w:hRule="atLeast"/>
        <w:tc>
          <w:tcPr>
            <w:tcW w:w="221.7365" w:type="pct"/>
            <w:vAlign w:val="top"/>
            <w:rStyle w:val="Center"/>
          </w:tcPr>
          <w:p>
            <w:pPr>
              <w:keepNext/>
              <w:jc w:val="center"/>
            </w:pPr>
            <w:r>
              <w:t xml:space="preserve">No Change</w:t>
            </w:r>
          </w:p>
        </w:tc>
        <w:trHeight w:val="300" w:hRule="atLeast"/>
        <w:tc>
          <w:tcPr>
            <w:tcW w:w="2366.205" w:type="pct"/>
            <w:vAlign w:val="top"/>
          </w:tcPr>
          <w:p>
            <w:r>
              <w:t xml:space="preserve"> </w:t>
            </w:r>
          </w:p>
        </w:tc>
      </w:tr>
      <w:tr>
        <w:trPr>
          <w:trHeight w:val="300" w:hRule="atLeast"/>
        </w:trPr>
        <w:trHeight w:val="300" w:hRule="atLeast"/>
        <w:tc>
          <w:tcPr>
            <w:tcW w:w="1777.225" w:type="pct"/>
            <w:vAlign w:val="top"/>
          </w:tcPr>
          <w:p>
            <w:r>
              <w:t xml:space="preserve">PF2-2 Internal control overview</w:t>
            </w:r>
          </w:p>
        </w:tc>
        <w:trHeight w:val="300" w:hRule="atLeast"/>
        <w:tc>
          <w:tcPr>
            <w:tcW w:w="221.7365" w:type="pct"/>
            <w:vAlign w:val="top"/>
            <w:rStyle w:val="Center"/>
          </w:tcPr>
          <w:p>
            <w:pPr>
              <w:keepNext/>
              <w:jc w:val="center"/>
            </w:pPr>
            <w:r>
              <w:t xml:space="preserve">PF2-3</w:t>
            </w:r>
          </w:p>
        </w:tc>
        <w:trHeight w:val="300" w:hRule="atLeast"/>
        <w:tc>
          <w:tcPr>
            <w:tcW w:w="2366.205" w:type="pct"/>
            <w:vAlign w:val="top"/>
          </w:tcPr>
          <w:p>
            <w:r>
              <w:t xml:space="preserve"> </w:t>
            </w:r>
          </w:p>
        </w:tc>
      </w:tr>
      <w:tr>
        <w:trPr>
          <w:trHeight w:val="300" w:hRule="atLeast"/>
        </w:trPr>
        <w:trHeight w:val="300" w:hRule="atLeast"/>
        <w:tc>
          <w:tcPr>
            <w:tcW w:w="1777.225" w:type="pct"/>
            <w:vAlign w:val="top"/>
          </w:tcPr>
          <w:p>
            <w:r>
              <w:t xml:space="preserve">PF2-3 Key internal controls summary</w:t>
            </w:r>
          </w:p>
        </w:tc>
        <w:trHeight w:val="300" w:hRule="atLeast"/>
        <w:tc>
          <w:tcPr>
            <w:tcW w:w="221.7365" w:type="pct"/>
            <w:vAlign w:val="top"/>
            <w:rStyle w:val="Center"/>
          </w:tcPr>
          <w:p>
            <w:pPr>
              <w:keepNext/>
              <w:jc w:val="center"/>
            </w:pPr>
            <w:r>
              <w:t xml:space="preserve">PF2-2</w:t>
            </w:r>
          </w:p>
        </w:tc>
        <w:trHeight w:val="300" w:hRule="atLeast"/>
        <w:tc>
          <w:tcPr>
            <w:tcW w:w="2366.205" w:type="pct"/>
            <w:vAlign w:val="top"/>
          </w:tcPr>
          <w:p>
            <w:r>
              <w:t xml:space="preserve"> </w:t>
            </w:r>
          </w:p>
        </w:tc>
      </w:tr>
      <w:tr>
        <w:trPr>
          <w:trHeight w:val="300" w:hRule="atLeast"/>
        </w:trPr>
        <w:trHeight w:val="300" w:hRule="atLeast"/>
        <w:tc>
          <w:tcPr>
            <w:tcW w:w="1777.225" w:type="pct"/>
            <w:vAlign w:val="top"/>
          </w:tcPr>
          <w:p>
            <w:r>
              <w:t xml:space="preserve">PF2-4 Using the work of and communication with internal auditors</w:t>
            </w:r>
          </w:p>
        </w:tc>
        <w:trHeight w:val="300" w:hRule="atLeast"/>
        <w:tc>
          <w:tcPr>
            <w:tcW w:w="221.7365" w:type="pct"/>
            <w:vAlign w:val="top"/>
            <w:rStyle w:val="Center"/>
          </w:tcPr>
          <w:p>
            <w:pPr>
              <w:keepNext/>
              <w:jc w:val="center"/>
            </w:pPr>
            <w:r>
              <w:t xml:space="preserve">No Change</w:t>
            </w:r>
          </w:p>
        </w:tc>
        <w:trHeight w:val="300" w:hRule="atLeast"/>
        <w:tc>
          <w:tcPr>
            <w:tcW w:w="2366.205" w:type="pct"/>
            <w:vAlign w:val="top"/>
          </w:tcPr>
          <w:p>
            <w:r>
              <w:t xml:space="preserve"> </w:t>
            </w:r>
          </w:p>
        </w:tc>
      </w:tr>
      <w:tr>
        <w:trPr>
          <w:trHeight w:val="300" w:hRule="atLeast"/>
        </w:trPr>
        <w:trHeight w:val="300" w:hRule="atLeast"/>
        <w:tc>
          <w:tcPr>
            <w:tcW w:w="1777.225" w:type="pct"/>
            <w:vAlign w:val="top"/>
          </w:tcPr>
          <w:p>
            <w:r>
              <w:t xml:space="preserve">PF3-1 Risk analysis</w:t>
            </w:r>
          </w:p>
        </w:tc>
        <w:trHeight w:val="300" w:hRule="atLeast"/>
        <w:tc>
          <w:tcPr>
            <w:tcW w:w="221.7365" w:type="pct"/>
            <w:vAlign w:val="top"/>
            <w:rStyle w:val="Center"/>
          </w:tcPr>
          <w:p>
            <w:pPr>
              <w:keepNext/>
              <w:jc w:val="center"/>
            </w:pPr>
            <w:r>
              <w:t xml:space="preserve">Removed</w:t>
            </w:r>
          </w:p>
        </w:tc>
        <w:trHeight w:val="300" w:hRule="atLeast"/>
        <w:tc>
          <w:tcPr>
            <w:tcW w:w="2366.205" w:type="pct"/>
            <w:vAlign w:val="top"/>
          </w:tcPr>
          <w:p>
            <w:r>
              <w:t xml:space="preserve"> </w:t>
            </w:r>
          </w:p>
        </w:tc>
      </w:tr>
      <w:tr>
        <w:trPr>
          <w:trHeight w:val="300" w:hRule="atLeast"/>
        </w:trPr>
        <w:trHeight w:val="300" w:hRule="atLeast"/>
        <w:tc>
          <w:tcPr>
            <w:tcW w:w="1777.225" w:type="pct"/>
            <w:vAlign w:val="top"/>
          </w:tcPr>
          <w:p>
            <w:r>
              <w:t xml:space="preserve">PF3-2 Fraud risk analysis</w:t>
            </w:r>
          </w:p>
        </w:tc>
        <w:trHeight w:val="300" w:hRule="atLeast"/>
        <w:tc>
          <w:tcPr>
            <w:tcW w:w="221.7365" w:type="pct"/>
            <w:vAlign w:val="top"/>
            <w:rStyle w:val="Center"/>
          </w:tcPr>
          <w:p>
            <w:pPr>
              <w:keepNext/>
              <w:jc w:val="center"/>
            </w:pPr>
            <w:r>
              <w:t xml:space="preserve">B34</w:t>
            </w:r>
          </w:p>
        </w:tc>
        <w:trHeight w:val="300" w:hRule="atLeast"/>
        <w:tc>
          <w:tcPr>
            <w:tcW w:w="2366.205" w:type="pct"/>
            <w:vAlign w:val="top"/>
          </w:tcPr>
          <w:p>
            <w:r>
              <w:t xml:space="preserve">Now included as part of B34. </w:t>
            </w:r>
          </w:p>
        </w:tc>
      </w:tr>
    </w:tbl>
    <w:p>
      <w:r>
        <w:br w:type="page"/>
      </w:r>
    </w:p>
    <w:sectPr w:rsidRPr="00494D0A" w:rsidR="00494D0A" w:rsidSect="00102C90">
      <w:pgSz w:w="11906" w:h="16838" w:code="9"/>
      <w:pgMar w:top="851" w:right="680" w:bottom="851" w:left="680" w:header="284" w:footer="284" w:gutter="0"/>
      <w:cols w:space="708"/>
      <w:docGrid w:linePitch="360"/>
      <w:footerReference w:type="default" r:id="Footer99"/>
      <w:headerReference w:type="default" r:id="Header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9E46F0" w14:textId="77777777" w:rsidR="00DA2E56" w:rsidRDefault="00DA2E56">
      <w:r>
        <w:separator/>
      </w:r>
    </w:p>
  </w:endnote>
  <w:endnote w:type="continuationSeparator" w:id="0">
    <w:p w14:paraId="63C0385D" w14:textId="77777777" w:rsidR="00DA2E56" w:rsidRDefault="00DA2E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http://schemas.openxmlformats.org/wordprocessingml/2006/main">
  <w:tbl>
    <w:tblPr>
      <w:tblW w:w="11340" w:type="dxa"/>
      <w:tblBorders>
        <w:top w:val="nil"/>
        <w:left w:val="nil"/>
        <w:bottom w:val="nil"/>
        <w:right w:val="nil"/>
        <w:end w:val="nil"/>
        <w:insideH w:val="nil"/>
        <w:insideV w:val="nil"/>
      </w:tblBorders>
      <w:tblInd w:w="-459" w:type="dxa"/>
    </w:tblPr>
    <w:tblGrid>
      <w:gridCol w:w="5658"/>
      <w:gridCol w:w="5682"/>
    </w:tblGrid>
    <w:tr>
      <w:tc>
        <w:p>
          <w:r>
            <w:t>Pension Schemes Manual</w:t>
          </w:r>
        </w:p>
      </w:tc>
      <w:tc>
        <w:p>
          <w:pPr>
            <w:jc w:val="right"/>
          </w:pPr>
          <w:r>
            <w:t>10/11/2022</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6DDAA0" w14:textId="77777777" w:rsidR="00DA2E56" w:rsidRDefault="00DA2E56">
      <w:r>
        <w:separator/>
      </w:r>
    </w:p>
  </w:footnote>
  <w:footnote w:type="continuationSeparator" w:id="0">
    <w:p w14:paraId="682A6E7A" w14:textId="77777777" w:rsidR="00DA2E56" w:rsidRDefault="00DA2E56">
      <w:r>
        <w:continuationSeparator/>
      </w:r>
    </w:p>
  </w:footnote>
</w:footnotes>
</file>

<file path=word/header1.xml><?xml version="1.0" encoding="utf-8"?>
<w:hdr xmlns:w="http://schemas.openxmlformats.org/wordprocessingml/2006/main">
  <w:tbl>
    <w:tblPr>
      <w:tblW w:w="11340" w:type="dxa"/>
      <w:tblBorders>
        <w:top w:val="nil"/>
        <w:left w:val="nil"/>
        <w:bottom w:val="nil"/>
        <w:right w:val="nil"/>
        <w:end w:val="nil"/>
        <w:insideH w:val="nil"/>
        <w:insideV w:val="nil"/>
      </w:tblBorders>
      <w:tblInd w:w="-459" w:type="dxa"/>
    </w:tblPr>
    <w:tblGrid>
      <w:gridCol w:w="5658"/>
      <w:gridCol w:w="5682"/>
    </w:tblGrid>
    <w:tr>
      <w:tc>
        <w:p>
          <w:r>
            <w:t/>
          </w:r>
        </w:p>
      </w:tc>
      <w:tc>
        <w:p>
          <w:pPr>
            <w:jc w:val="right"/>
          </w:pPr>
          <w:r>
            <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78EDFE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1D0F7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52EFF0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7F6B9AA"/>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C5025212"/>
    <w:lvl w:ilvl="0">
      <w:start w:val="1"/>
      <w:numFmt w:val="decimal"/>
      <w:pStyle w:val="ListNumber"/>
      <w:lvlText w:val="%1."/>
      <w:lvlJc w:val="left"/>
      <w:pPr>
        <w:tabs>
          <w:tab w:val="num" w:pos="360"/>
        </w:tabs>
        <w:ind w:left="360" w:hanging="360"/>
      </w:pPr>
    </w:lvl>
  </w:abstractNum>
  <w:abstractNum w:abstractNumId="5" w15:restartNumberingAfterBreak="0">
    <w:nsid w:val="0292441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CFB2B1E"/>
    <w:multiLevelType w:val="hybridMultilevel"/>
    <w:tmpl w:val="A556533C"/>
    <w:lvl w:ilvl="0" w:tplc="08090001">
      <w:start w:val="1"/>
      <w:numFmt w:val="bullet"/>
      <w:lvlText w:val=""/>
      <w:lvlJc w:val="left"/>
      <w:pPr>
        <w:ind w:left="862" w:hanging="360"/>
      </w:pPr>
      <w:rPr>
        <w:rFonts w:hint="default" w:ascii="Symbol" w:hAnsi="Symbol"/>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7" w15:restartNumberingAfterBreak="0">
    <w:nsid w:val="111B731F"/>
    <w:multiLevelType w:val="multilevel"/>
    <w:tmpl w:val="640807B0"/>
    <w:lvl w:ilvl="0">
      <w:start w:val="1"/>
      <w:numFmt w:val="none"/>
      <w:pStyle w:val="Heading1"/>
      <w:suff w:val="nothing"/>
      <w:lvlText w:val="%1"/>
      <w:lvlJc w:val="left"/>
      <w:pPr>
        <w:ind w:left="0" w:firstLine="0"/>
      </w:pPr>
      <w:rPr>
        <w:rFonts w:hint="default"/>
      </w:rPr>
    </w:lvl>
    <w:lvl w:ilvl="1">
      <w:start w:val="1"/>
      <w:numFmt w:val="decimal"/>
      <w:pStyle w:val="NormalNumbered"/>
      <w:lvlText w:val="%2."/>
      <w:lvlJc w:val="left"/>
      <w:pPr>
        <w:tabs>
          <w:tab w:val="num" w:pos="360"/>
        </w:tabs>
        <w:ind w:left="357" w:hanging="357"/>
      </w:pPr>
      <w:rPr>
        <w:rFonts w:hint="default"/>
      </w:rPr>
    </w:lvl>
    <w:lvl w:ilvl="2">
      <w:start w:val="1"/>
      <w:numFmt w:val="lowerLetter"/>
      <w:pStyle w:val="NormalAlphabet"/>
      <w:lvlText w:val="(%3)"/>
      <w:lvlJc w:val="left"/>
      <w:pPr>
        <w:tabs>
          <w:tab w:val="num" w:pos="720"/>
        </w:tabs>
        <w:ind w:left="720" w:hanging="363"/>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8" w15:restartNumberingAfterBreak="0">
    <w:nsid w:val="2297205F"/>
    <w:multiLevelType w:val="singleLevel"/>
    <w:tmpl w:val="00AC1DA0"/>
    <w:lvl w:ilvl="0">
      <w:start w:val="1"/>
      <w:numFmt w:val="lowerLetter"/>
      <w:suff w:val="space"/>
      <w:lvlText w:val="%1."/>
      <w:lvlJc w:val="left"/>
      <w:pPr>
        <w:ind w:left="0" w:firstLine="284"/>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color="000000" w:sz="0" w:space="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9" w15:restartNumberingAfterBreak="0">
    <w:nsid w:val="351D486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9FB2375"/>
    <w:multiLevelType w:val="hybridMultilevel"/>
    <w:tmpl w:val="0E0A0128"/>
    <w:lvl w:ilvl="0" w:tplc="779E6A40">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47751253"/>
    <w:multiLevelType w:val="hybridMultilevel"/>
    <w:tmpl w:val="520AE216"/>
    <w:lvl w:ilvl="0" w:tplc="0809000F">
      <w:start w:val="1"/>
      <w:numFmt w:val="decimal"/>
      <w:lvlText w:val="%1."/>
      <w:lvlJc w:val="lef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2" w15:restartNumberingAfterBreak="0">
    <w:nsid w:val="4BDD1D4A"/>
    <w:multiLevelType w:val="singleLevel"/>
    <w:tmpl w:val="27626226"/>
    <w:lvl w:ilvl="0">
      <w:start w:val="1"/>
      <w:numFmt w:val="lowerLetter"/>
      <w:suff w:val="space"/>
      <w:lvlText w:val="%1."/>
      <w:lvlJc w:val="left"/>
      <w:pPr>
        <w:ind w:left="420" w:firstLine="147"/>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color="000000" w:sz="0" w:space="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13" w15:restartNumberingAfterBreak="0">
    <w:nsid w:val="526D58B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53B101BB"/>
    <w:multiLevelType w:val="hybridMultilevel"/>
    <w:tmpl w:val="1684054C"/>
    <w:lvl w:ilvl="0" w:tplc="CBAAF6DA">
      <w:start w:val="1"/>
      <w:numFmt w:val="lowerRoman"/>
      <w:pStyle w:val="ChecklistNumbered"/>
      <w:lvlText w:val="%1)"/>
      <w:lvlJc w:val="left"/>
      <w:pPr>
        <w:tabs>
          <w:tab w:val="num" w:pos="357"/>
        </w:tabs>
        <w:ind w:left="35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3492AE8"/>
    <w:multiLevelType w:val="hybridMultilevel"/>
    <w:tmpl w:val="A34E7F78"/>
    <w:lvl w:ilvl="0" w:tplc="E1BEC466">
      <w:start w:val="1"/>
      <w:numFmt w:val="bullet"/>
      <w:pStyle w:val="Bullet"/>
      <w:lvlText w:val=""/>
      <w:lvlJc w:val="left"/>
      <w:pPr>
        <w:tabs>
          <w:tab w:val="num" w:pos="360"/>
        </w:tabs>
        <w:ind w:left="357" w:hanging="357"/>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6" w15:restartNumberingAfterBreak="0">
    <w:nsid w:val="644F643B"/>
    <w:multiLevelType w:val="hybridMultilevel"/>
    <w:tmpl w:val="EBD84CB8"/>
    <w:lvl w:ilvl="0" w:tplc="1A383662">
      <w:start w:val="1"/>
      <w:numFmt w:val="bullet"/>
      <w:pStyle w:val="Bulletindent"/>
      <w:lvlText w:val=""/>
      <w:lvlJc w:val="left"/>
      <w:pPr>
        <w:tabs>
          <w:tab w:val="num" w:pos="717"/>
        </w:tabs>
        <w:ind w:left="714" w:hanging="357"/>
      </w:pPr>
      <w:rPr>
        <w:rFonts w:hint="default" w:ascii="Symbol" w:hAnsi="Symbol"/>
      </w:rPr>
    </w:lvl>
    <w:lvl w:ilvl="1" w:tplc="04090003" w:tentative="1">
      <w:start w:val="1"/>
      <w:numFmt w:val="bullet"/>
      <w:lvlText w:val="o"/>
      <w:lvlJc w:val="left"/>
      <w:pPr>
        <w:tabs>
          <w:tab w:val="num" w:pos="1797"/>
        </w:tabs>
        <w:ind w:left="1797" w:hanging="360"/>
      </w:pPr>
      <w:rPr>
        <w:rFonts w:hint="default" w:ascii="Courier New" w:hAnsi="Courier New"/>
      </w:rPr>
    </w:lvl>
    <w:lvl w:ilvl="2" w:tplc="04090005" w:tentative="1">
      <w:start w:val="1"/>
      <w:numFmt w:val="bullet"/>
      <w:lvlText w:val=""/>
      <w:lvlJc w:val="left"/>
      <w:pPr>
        <w:tabs>
          <w:tab w:val="num" w:pos="2517"/>
        </w:tabs>
        <w:ind w:left="2517" w:hanging="360"/>
      </w:pPr>
      <w:rPr>
        <w:rFonts w:hint="default" w:ascii="Wingdings" w:hAnsi="Wingdings"/>
      </w:rPr>
    </w:lvl>
    <w:lvl w:ilvl="3" w:tplc="04090001" w:tentative="1">
      <w:start w:val="1"/>
      <w:numFmt w:val="bullet"/>
      <w:lvlText w:val=""/>
      <w:lvlJc w:val="left"/>
      <w:pPr>
        <w:tabs>
          <w:tab w:val="num" w:pos="3237"/>
        </w:tabs>
        <w:ind w:left="3237" w:hanging="360"/>
      </w:pPr>
      <w:rPr>
        <w:rFonts w:hint="default" w:ascii="Symbol" w:hAnsi="Symbol"/>
      </w:rPr>
    </w:lvl>
    <w:lvl w:ilvl="4" w:tplc="04090003" w:tentative="1">
      <w:start w:val="1"/>
      <w:numFmt w:val="bullet"/>
      <w:lvlText w:val="o"/>
      <w:lvlJc w:val="left"/>
      <w:pPr>
        <w:tabs>
          <w:tab w:val="num" w:pos="3957"/>
        </w:tabs>
        <w:ind w:left="3957" w:hanging="360"/>
      </w:pPr>
      <w:rPr>
        <w:rFonts w:hint="default" w:ascii="Courier New" w:hAnsi="Courier New"/>
      </w:rPr>
    </w:lvl>
    <w:lvl w:ilvl="5" w:tplc="04090005" w:tentative="1">
      <w:start w:val="1"/>
      <w:numFmt w:val="bullet"/>
      <w:lvlText w:val=""/>
      <w:lvlJc w:val="left"/>
      <w:pPr>
        <w:tabs>
          <w:tab w:val="num" w:pos="4677"/>
        </w:tabs>
        <w:ind w:left="4677" w:hanging="360"/>
      </w:pPr>
      <w:rPr>
        <w:rFonts w:hint="default" w:ascii="Wingdings" w:hAnsi="Wingdings"/>
      </w:rPr>
    </w:lvl>
    <w:lvl w:ilvl="6" w:tplc="04090001" w:tentative="1">
      <w:start w:val="1"/>
      <w:numFmt w:val="bullet"/>
      <w:lvlText w:val=""/>
      <w:lvlJc w:val="left"/>
      <w:pPr>
        <w:tabs>
          <w:tab w:val="num" w:pos="5397"/>
        </w:tabs>
        <w:ind w:left="5397" w:hanging="360"/>
      </w:pPr>
      <w:rPr>
        <w:rFonts w:hint="default" w:ascii="Symbol" w:hAnsi="Symbol"/>
      </w:rPr>
    </w:lvl>
    <w:lvl w:ilvl="7" w:tplc="04090003" w:tentative="1">
      <w:start w:val="1"/>
      <w:numFmt w:val="bullet"/>
      <w:lvlText w:val="o"/>
      <w:lvlJc w:val="left"/>
      <w:pPr>
        <w:tabs>
          <w:tab w:val="num" w:pos="6117"/>
        </w:tabs>
        <w:ind w:left="6117" w:hanging="360"/>
      </w:pPr>
      <w:rPr>
        <w:rFonts w:hint="default" w:ascii="Courier New" w:hAnsi="Courier New"/>
      </w:rPr>
    </w:lvl>
    <w:lvl w:ilvl="8" w:tplc="04090005" w:tentative="1">
      <w:start w:val="1"/>
      <w:numFmt w:val="bullet"/>
      <w:lvlText w:val=""/>
      <w:lvlJc w:val="left"/>
      <w:pPr>
        <w:tabs>
          <w:tab w:val="num" w:pos="6837"/>
        </w:tabs>
        <w:ind w:left="6837" w:hanging="360"/>
      </w:pPr>
      <w:rPr>
        <w:rFonts w:hint="default" w:ascii="Wingdings" w:hAnsi="Wingdings"/>
      </w:rPr>
    </w:lvl>
  </w:abstractNum>
  <w:abstractNum w:abstractNumId="17" w15:restartNumberingAfterBreak="0">
    <w:nsid w:val="69702987"/>
    <w:multiLevelType w:val="hybridMultilevel"/>
    <w:tmpl w:val="B0CC24BC"/>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6AF03508"/>
    <w:multiLevelType w:val="singleLevel"/>
    <w:tmpl w:val="0B761A06"/>
    <w:lvl w:ilvl="0">
      <w:start w:val="1"/>
      <w:numFmt w:val="lowerLetter"/>
      <w:lvlText w:val="%1."/>
      <w:lvlJc w:val="left"/>
      <w:pPr>
        <w:ind w:left="0" w:firstLine="567"/>
      </w:pPr>
      <w:rPr>
        <w:rFonts w:hint="default"/>
      </w:rPr>
    </w:lvl>
  </w:abstractNum>
  <w:abstractNum w:abstractNumId="19" w15:restartNumberingAfterBreak="0">
    <w:nsid w:val="78C74A6D"/>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7C9F21E3"/>
    <w:multiLevelType w:val="hybridMultilevel"/>
    <w:tmpl w:val="7DE8BE1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nsid w:val="63FF2A15"/>
    <w:multiLevelType w:val="singleLevel"/>
    <w:lvl w:ilvl="0">
      <w:start w:val="1"/>
      <w:numFmt w:val="decimal"/>
      <w:lvlText w:val="%1."/>
      <w:pPr>
        <w:ind w:left="720" w:hanging="360"/>
      </w:pPr>
    </w:lvl>
  </w:abstractNum>
  <w:abstractNum w:abstractNumId="22">
    <w:nsid w:val="63FF2A16"/>
    <w:multiLevelType w:val="singleLevel"/>
    <w:lvl w:ilvl="0">
      <w:numFmt w:val="bullet"/>
      <w:lvlText w:val="•"/>
      <w:pPr>
        <w:ind w:left="720" w:hanging="360"/>
      </w:pPr>
    </w:lvl>
  </w:abstractNum>
  <w:abstractNum w:abstractNumId="23">
    <w:nsid w:val="63FF2A17"/>
    <w:multiLevelType w:val="singleLevel"/>
    <w:lvl w:ilvl="0">
      <w:numFmt w:val="bullet"/>
      <w:lvlText w:val="▪"/>
      <w:pPr>
        <w:ind w:left="720" w:hanging="360"/>
      </w:pPr>
    </w:lvl>
  </w:abstractNum>
  <w:abstractNum w:abstractNumId="24">
    <w:nsid w:val="63FF2A18"/>
    <w:multiLevelType w:val="singleLevel"/>
    <w:lvl w:ilvl="0">
      <w:numFmt w:val="bullet"/>
      <w:lvlText w:val="o"/>
      <w:pPr>
        <w:ind w:left="720" w:hanging="360"/>
      </w:pPr>
    </w:lvl>
  </w:abstractNum>
  <w:abstractNum w:abstractNumId="25">
    <w:nsid w:val="63FF2A19"/>
    <w:multiLevelType w:val="singleLevel"/>
    <w:lvl w:ilvl="0">
      <w:start w:val="1"/>
      <w:numFmt w:val="upperLetter"/>
      <w:lvlText w:val="%1."/>
      <w:pPr>
        <w:ind w:left="720" w:hanging="360"/>
      </w:pPr>
    </w:lvl>
  </w:abstractNum>
  <w:abstractNum w:abstractNumId="26">
    <w:nsid w:val="63FF2A1A"/>
    <w:multiLevelType w:val="singleLevel"/>
    <w:lvl w:ilvl="0">
      <w:start w:val="1"/>
      <w:numFmt w:val="lowerLetter"/>
      <w:lvlText w:val="%1."/>
      <w:pPr>
        <w:ind w:left="720" w:hanging="360"/>
      </w:pPr>
    </w:lvl>
  </w:abstractNum>
  <w:abstractNum w:abstractNumId="27">
    <w:nsid w:val="63FF2A1B"/>
    <w:multiLevelType w:val="singleLevel"/>
    <w:lvl w:ilvl="0">
      <w:start w:val="1"/>
      <w:numFmt w:val="upperRoman"/>
      <w:lvlText w:val="%1."/>
      <w:pPr>
        <w:ind w:left="720" w:hanging="360"/>
      </w:pPr>
    </w:lvl>
  </w:abstractNum>
  <w:abstractNum w:abstractNumId="28">
    <w:nsid w:val="63FF2A1C"/>
    <w:multiLevelType w:val="singleLevel"/>
    <w:lvl w:ilvl="0">
      <w:start w:val="1"/>
      <w:numFmt w:val="lowerRoman"/>
      <w:lvlText w:val="%1."/>
      <w:pPr>
        <w:ind w:left="720" w:hanging="360"/>
      </w:pPr>
    </w:lvl>
  </w:abstractNum>
  <w:abstractNum w:abstractNumId="29">
    <w:nsid w:val="63FF2A1D"/>
    <w:multiLevelType w:val="singleLevel"/>
    <w:lvl w:ilvl="0">
      <w:start w:val="1"/>
      <w:numFmt w:val="lowerLetter"/>
      <w:lvlText w:val="%1."/>
      <w:pPr>
        <w:ind w:left="720" w:hanging="360"/>
      </w:pPr>
    </w:lvl>
  </w:abstractNum>
  <w:num w:numId="1">
    <w:abstractNumId w:val="15"/>
  </w:num>
  <w:num w:numId="2">
    <w:abstractNumId w:val="7"/>
  </w:num>
  <w:num w:numId="3">
    <w:abstractNumId w:val="16"/>
  </w:num>
  <w:num w:numId="4">
    <w:abstractNumId w:val="14"/>
  </w:num>
  <w:num w:numId="5">
    <w:abstractNumId w:val="17"/>
  </w:num>
  <w:num w:numId="6">
    <w:abstractNumId w:val="3"/>
  </w:num>
  <w:num w:numId="7">
    <w:abstractNumId w:val="2"/>
  </w:num>
  <w:num w:numId="8">
    <w:abstractNumId w:val="1"/>
  </w:num>
  <w:num w:numId="9">
    <w:abstractNumId w:val="0"/>
  </w:num>
  <w:num w:numId="10">
    <w:abstractNumId w:val="4"/>
  </w:num>
  <w:num w:numId="11">
    <w:abstractNumId w:val="18"/>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startOverride w:val="1"/>
    </w:lvlOverride>
  </w:num>
  <w:num w:numId="14">
    <w:abstractNumId w:val="12"/>
  </w:num>
  <w:num w:numId="15">
    <w:abstractNumId w:val="12"/>
    <w:lvlOverride w:ilvl="0">
      <w:startOverride w:val="1"/>
    </w:lvlOverride>
  </w:num>
  <w:num w:numId="16">
    <w:abstractNumId w:val="12"/>
  </w:num>
  <w:num w:numId="17">
    <w:abstractNumId w:val="8"/>
    <w:lvlOverride w:ilvl="0">
      <w:startOverride w:val="1"/>
    </w:lvlOverride>
  </w:num>
  <w:num w:numId="18">
    <w:abstractNumId w:val="8"/>
  </w:num>
  <w:num w:numId="19">
    <w:abstractNumId w:val="9"/>
  </w:num>
  <w:num w:numId="20">
    <w:abstractNumId w:val="5"/>
  </w:num>
  <w:num w:numId="21">
    <w:abstractNumId w:val="13"/>
  </w:num>
  <w:num w:numId="22">
    <w:abstractNumId w:val="19"/>
  </w:num>
  <w:num w:numId="23">
    <w:abstractNumId w:val="20"/>
  </w:num>
  <w:num w:numId="24">
    <w:abstractNumId w:val="10"/>
  </w:num>
  <w:num w:numId="25">
    <w:abstractNumId w:val="11"/>
  </w:num>
  <w:num w:numId="26">
    <w:abstractNumId w:val="6"/>
  </w:num>
  <w:num w:numId="27">
    <w:abstractNumId w:val="22"/>
    <w:lvlOverride w:ilvl="0">
      <w:startOverride w:val="1"/>
    </w:lvlOverride>
  </w:num>
  <w:num w:numId="28">
    <w:abstractNumId w:val="22"/>
    <w:lvlOverride w:ilvl="0">
      <w:startOverride w:val="1"/>
    </w:lvlOverride>
  </w:num>
  <w:num w:numId="29">
    <w:abstractNumId w:val="22"/>
    <w:lvlOverride w:ilvl="0">
      <w:startOverride w:val="1"/>
    </w:lvlOverride>
  </w:num>
  <w:num w:numId="30">
    <w:abstractNumId w:val="22"/>
    <w:lvlOverride w:ilvl="0">
      <w:startOverride w:val="1"/>
    </w:lvlOverride>
  </w:num>
  <w:num w:numId="31">
    <w:abstractNumId w:val="22"/>
    <w:lvlOverride w:ilvl="0">
      <w:startOverride w:val="1"/>
    </w:lvlOverride>
  </w:num>
  <w:num w:numId="32">
    <w:abstractNumId w:val="22"/>
    <w:lvlOverride w:ilvl="0">
      <w:startOverride w:val="1"/>
    </w:lvlOverride>
  </w:num>
  <w:num w:numId="33">
    <w:abstractNumId w:val="22"/>
    <w:lvlOverride w:ilvl="0">
      <w:startOverride w:val="1"/>
    </w:lvlOverride>
  </w:num>
  <w:num w:numId="34">
    <w:abstractNumId w:val="22"/>
    <w:lvlOverride w:ilvl="0">
      <w:startOverride w:val="1"/>
    </w:lvlOverride>
  </w:num>
  <w:num w:numId="35">
    <w:abstractNumId w:val="22"/>
    <w:lvlOverride w:ilvl="0">
      <w:startOverride w:val="1"/>
    </w:lvlOverride>
  </w:num>
  <w:num w:numId="36">
    <w:abstractNumId w:val="22"/>
    <w:lvlOverride w:ilvl="0">
      <w:startOverride w:val="1"/>
    </w:lvlOverride>
  </w:num>
  <w:num w:numId="37">
    <w:abstractNumId w:val="22"/>
    <w:lvlOverride w:ilvl="0">
      <w:startOverride w:val="1"/>
    </w:lvlOverride>
  </w:num>
  <w:num w:numId="38">
    <w:abstractNumId w:val="22"/>
    <w:lvlOverride w:ilvl="0">
      <w:startOverride w:val="1"/>
    </w:lvlOverride>
  </w:num>
  <w:num w:numId="39">
    <w:abstractNumId w:val="22"/>
    <w:lvlOverride w:ilvl="0">
      <w:startOverride w:val="1"/>
    </w:lvlOverride>
  </w:num>
  <w:num w:numId="40">
    <w:abstractNumId w:val="22"/>
    <w:lvlOverride w:ilvl="0">
      <w:startOverride w:val="1"/>
    </w:lvlOverride>
  </w:num>
  <w:num w:numId="41">
    <w:abstractNumId w:val="22"/>
    <w:lvlOverride w:ilvl="0">
      <w:startOverride w:val="1"/>
    </w:lvlOverride>
  </w:num>
  <w:num w:numId="42">
    <w:abstractNumId w:val="22"/>
    <w:lvlOverride w:ilvl="0">
      <w:startOverride w:val="1"/>
    </w:lvlOverride>
  </w:num>
  <w:num w:numId="43">
    <w:abstractNumId w:val="22"/>
    <w:lvlOverride w:ilvl="0">
      <w:startOverride w:val="1"/>
    </w:lvlOverride>
  </w:num>
  <w:num w:numId="44">
    <w:abstractNumId w:val="22"/>
    <w:lvlOverride w:ilvl="0">
      <w:startOverride w:val="1"/>
    </w:lvlOverride>
  </w:num>
  <w:num w:numId="45">
    <w:abstractNumId w:val="22"/>
    <w:lvlOverride w:ilvl="0">
      <w:startOverride w:val="1"/>
    </w:lvlOverride>
  </w:num>
  <w:num w:numId="46">
    <w:abstractNumId w:val="22"/>
    <w:lvlOverride w:ilvl="0">
      <w:startOverride w:val="1"/>
    </w:lvlOverride>
  </w:num>
  <w:num w:numId="47">
    <w:abstractNumId w:val="22"/>
    <w:lvlOverride w:ilvl="0">
      <w:startOverride w:val="1"/>
    </w:lvlOverride>
  </w:num>
  <w:num w:numId="48">
    <w:abstractNumId w:val="22"/>
    <w:lvlOverride w:ilvl="0">
      <w:startOverride w:val="1"/>
    </w:lvlOverride>
  </w:num>
  <w:num w:numId="49">
    <w:abstractNumId w:val="22"/>
    <w:lvlOverride w:ilvl="0">
      <w:startOverride w:val="1"/>
    </w:lvlOverride>
  </w:num>
  <w:num w:numId="50">
    <w:abstractNumId w:val="22"/>
    <w:lvlOverride w:ilvl="0">
      <w:startOverride w:val="1"/>
    </w:lvlOverride>
  </w:num>
  <w:num w:numId="51">
    <w:abstractNumId w:val="22"/>
    <w:lvlOverride w:ilvl="0">
      <w:startOverride w:val="1"/>
    </w:lvlOverride>
  </w:num>
  <w:num w:numId="52">
    <w:abstractNumId w:val="22"/>
    <w:lvlOverride w:ilvl="0">
      <w:startOverride w:val="1"/>
    </w:lvlOverride>
  </w:num>
  <w:num w:numId="53">
    <w:abstractNumId w:val="22"/>
    <w:lvlOverride w:ilvl="0">
      <w:startOverride w:val="1"/>
    </w:lvlOverride>
  </w:num>
  <w:num w:numId="54">
    <w:abstractNumId w:val="22"/>
    <w:lvlOverride w:ilvl="0">
      <w:startOverride w:val="1"/>
    </w:lvlOverride>
  </w:num>
  <w:num w:numId="55">
    <w:abstractNumId w:val="22"/>
    <w:lvlOverride w:ilvl="0">
      <w:startOverride w:val="1"/>
    </w:lvlOverride>
  </w:num>
  <w:num w:numId="56">
    <w:abstractNumId w:val="22"/>
    <w:lvlOverride w:ilvl="0">
      <w:startOverride w:val="1"/>
    </w:lvlOverride>
  </w:num>
  <w:num w:numId="57">
    <w:abstractNumId w:val="22"/>
    <w:lvlOverride w:ilvl="0">
      <w:startOverride w:val="1"/>
    </w:lvlOverride>
  </w:num>
  <w:num w:numId="58">
    <w:abstractNumId w:val="22"/>
    <w:lvlOverride w:ilvl="0">
      <w:startOverride w:val="1"/>
    </w:lvlOverride>
  </w:num>
  <w:num w:numId="59">
    <w:abstractNumId w:val="22"/>
    <w:lvlOverride w:ilvl="0">
      <w:startOverride w:val="1"/>
    </w:lvlOverride>
  </w:num>
  <w:num w:numId="60">
    <w:abstractNumId w:val="22"/>
    <w:lvlOverride w:ilvl="0">
      <w:startOverride w:val="1"/>
    </w:lvlOverride>
  </w:num>
  <w:num w:numId="61">
    <w:abstractNumId w:val="22"/>
    <w:lvlOverride w:ilvl="0">
      <w:startOverride w:val="1"/>
    </w:lvlOverride>
  </w:num>
  <w:num w:numId="62">
    <w:abstractNumId w:val="22"/>
    <w:lvlOverride w:ilvl="0">
      <w:startOverride w:val="1"/>
    </w:lvlOverride>
  </w:num>
  <w:num w:numId="63">
    <w:abstractNumId w:val="22"/>
    <w:lvlOverride w:ilvl="0">
      <w:startOverride w:val="1"/>
    </w:lvlOverride>
  </w:num>
  <w:num w:numId="64">
    <w:abstractNumId w:val="22"/>
    <w:lvlOverride w:ilvl="0">
      <w:startOverride w:val="1"/>
    </w:lvlOverride>
  </w:num>
  <w:num w:numId="65">
    <w:abstractNumId w:val="22"/>
    <w:lvlOverride w:ilvl="0">
      <w:startOverride w:val="1"/>
    </w:lvlOverride>
  </w:num>
  <w:num w:numId="66">
    <w:abstractNumId w:val="22"/>
    <w:lvlOverride w:ilvl="0">
      <w:startOverride w:val="1"/>
    </w:lvlOverride>
  </w:num>
  <w:num w:numId="67">
    <w:abstractNumId w:val="22"/>
    <w:lvlOverride w:ilvl="0">
      <w:startOverride w:val="1"/>
    </w:lvlOverride>
  </w:num>
  <w:num w:numId="68">
    <w:abstractNumId w:val="22"/>
    <w:lvlOverride w:ilvl="0">
      <w:startOverride w:val="1"/>
    </w:lvlOverride>
  </w:num>
  <w:num w:numId="69">
    <w:abstractNumId w:val="22"/>
    <w:lvlOverride w:ilvl="0">
      <w:startOverride w:val="1"/>
    </w:lvlOverride>
  </w:num>
  <w:num w:numId="70">
    <w:abstractNumId w:val="22"/>
    <w:lvlOverride w:ilvl="0">
      <w:startOverride w:val="1"/>
    </w:lvlOverride>
  </w:num>
  <w:num w:numId="71">
    <w:abstractNumId w:val="22"/>
    <w:lvlOverride w:ilvl="0">
      <w:startOverride w:val="1"/>
    </w:lvlOverride>
  </w:num>
  <w:num w:numId="72">
    <w:abstractNumId w:val="22"/>
    <w:lvlOverride w:ilvl="0">
      <w:startOverride w:val="1"/>
    </w:lvlOverride>
  </w:num>
  <w:num w:numId="73">
    <w:abstractNumId w:val="22"/>
    <w:lvlOverride w:ilvl="0">
      <w:startOverride w:val="1"/>
    </w:lvlOverride>
  </w:num>
  <w:num w:numId="74">
    <w:abstractNumId w:val="22"/>
    <w:lvlOverride w:ilvl="0">
      <w:startOverride w:val="1"/>
    </w:lvlOverride>
  </w:num>
  <w:num w:numId="75">
    <w:abstractNumId w:val="22"/>
    <w:lvlOverride w:ilvl="0">
      <w:startOverride w:val="1"/>
    </w:lvlOverride>
  </w:num>
  <w:num w:numId="76">
    <w:abstractNumId w:val="22"/>
    <w:lvlOverride w:ilvl="0">
      <w:startOverride w:val="1"/>
    </w:lvlOverride>
  </w:num>
  <w:num w:numId="77">
    <w:abstractNumId w:val="22"/>
    <w:lvlOverride w:ilvl="0">
      <w:startOverride w:val="1"/>
    </w:lvlOverride>
  </w:num>
  <w:num w:numId="78">
    <w:abstractNumId w:val="22"/>
    <w:lvlOverride w:ilvl="0">
      <w:startOverride w:val="1"/>
    </w:lvlOverride>
  </w:num>
  <w:num w:numId="79">
    <w:abstractNumId w:val="22"/>
    <w:lvlOverride w:ilvl="0">
      <w:startOverride w:val="1"/>
    </w:lvlOverride>
  </w:num>
  <w:num w:numId="80">
    <w:abstractNumId w:val="22"/>
    <w:lvlOverride w:ilvl="0">
      <w:startOverride w:val="1"/>
    </w:lvlOverride>
  </w:num>
  <w:num w:numId="81">
    <w:abstractNumId w:val="22"/>
    <w:lvlOverride w:ilvl="0">
      <w:startOverride w:val="1"/>
    </w:lvlOverride>
  </w:num>
  <w:num w:numId="82">
    <w:abstractNumId w:val="22"/>
    <w:lvlOverride w:ilvl="0">
      <w:startOverride w:val="1"/>
    </w:lvlOverride>
  </w:num>
  <w:num w:numId="83">
    <w:abstractNumId w:val="22"/>
    <w:lvlOverride w:ilvl="0">
      <w:startOverride w:val="1"/>
    </w:lvlOverride>
  </w:num>
  <w:num w:numId="84">
    <w:abstractNumId w:val="22"/>
    <w:lvlOverride w:ilvl="0">
      <w:startOverride w:val="1"/>
    </w:lvlOverride>
  </w:num>
  <w:num w:numId="85">
    <w:abstractNumId w:val="22"/>
    <w:lvlOverride w:ilvl="0">
      <w:startOverride w:val="1"/>
    </w:lvlOverride>
  </w:num>
  <w:num w:numId="86">
    <w:abstractNumId w:val="22"/>
    <w:lvlOverride w:ilvl="0">
      <w:startOverride w:val="1"/>
    </w:lvlOverride>
  </w:num>
  <w:num w:numId="87">
    <w:abstractNumId w:val="22"/>
    <w:lvlOverride w:ilvl="0">
      <w:startOverride w:val="1"/>
    </w:lvlOverride>
  </w:num>
  <w:num w:numId="88">
    <w:abstractNumId w:val="22"/>
    <w:lvlOverride w:ilvl="0">
      <w:startOverride w:val="1"/>
    </w:lvlOverride>
  </w:num>
  <w:num w:numId="89">
    <w:abstractNumId w:val="22"/>
    <w:lvlOverride w:ilvl="0">
      <w:startOverride w:val="1"/>
    </w:lvlOverride>
  </w:num>
  <w:num w:numId="90">
    <w:abstractNumId w:val="22"/>
    <w:lvlOverride w:ilvl="0">
      <w:startOverride w:val="1"/>
    </w:lvlOverride>
  </w:num>
  <w:num w:numId="91">
    <w:abstractNumId w:val="22"/>
    <w:lvlOverride w:ilvl="0">
      <w:startOverride w:val="1"/>
    </w:lvlOverride>
  </w:num>
  <w:num w:numId="92">
    <w:abstractNumId w:val="22"/>
    <w:lvlOverride w:ilvl="0">
      <w:startOverride w:val="1"/>
    </w:lvlOverride>
  </w:num>
  <w:num w:numId="93">
    <w:abstractNumId w:val="22"/>
    <w:lvlOverride w:ilvl="0">
      <w:startOverride w:val="1"/>
    </w:lvlOverride>
  </w:num>
  <w:num w:numId="94">
    <w:abstractNumId w:val="22"/>
    <w:lvlOverride w:ilvl="0">
      <w:startOverride w:val="1"/>
    </w:lvlOverride>
  </w:num>
  <w:num w:numId="95">
    <w:abstractNumId w:val="22"/>
    <w:lvlOverride w:ilvl="0">
      <w:startOverride w:val="1"/>
    </w:lvlOverride>
  </w:num>
  <w:num w:numId="96">
    <w:abstractNumId w:val="22"/>
    <w:lvlOverride w:ilvl="0">
      <w:startOverride w:val="1"/>
    </w:lvlOverride>
  </w:num>
  <w:num w:numId="97">
    <w:abstractNumId w:val="22"/>
    <w:lvlOverride w:ilvl="0">
      <w:startOverride w:val="1"/>
    </w:lvlOverride>
  </w:num>
  <w:num w:numId="98">
    <w:abstractNumId w:val="22"/>
    <w:lvlOverride w:ilvl="0">
      <w:startOverride w:val="1"/>
    </w:lvlOverride>
  </w:num>
  <w:num w:numId="99">
    <w:abstractNumId w:val="22"/>
    <w:lvlOverride w:ilvl="0">
      <w:startOverride w:val="1"/>
    </w:lvlOverride>
  </w:num>
  <w:num w:numId="100">
    <w:abstractNumId w:val="22"/>
    <w:lvlOverride w:ilvl="0">
      <w:startOverride w:val="1"/>
    </w:lvlOverride>
  </w:num>
  <w:num w:numId="101">
    <w:abstractNumId w:val="22"/>
    <w:lvlOverride w:ilvl="0">
      <w:startOverride w:val="1"/>
    </w:lvlOverride>
  </w:num>
  <w:num w:numId="102">
    <w:abstractNumId w:val="22"/>
    <w:lvlOverride w:ilvl="0">
      <w:startOverride w:val="1"/>
    </w:lvlOverride>
  </w:num>
  <w:num w:numId="103">
    <w:abstractNumId w:val="22"/>
    <w:lvlOverride w:ilvl="0">
      <w:startOverride w:val="1"/>
    </w:lvlOverride>
  </w:num>
  <w:num w:numId="104">
    <w:abstractNumId w:val="22"/>
    <w:lvlOverride w:ilvl="0">
      <w:startOverride w:val="1"/>
    </w:lvlOverride>
  </w:num>
  <w:num w:numId="105">
    <w:abstractNumId w:val="22"/>
    <w:lvlOverride w:ilvl="0">
      <w:startOverride w:val="1"/>
    </w:lvlOverride>
  </w:num>
  <w:num w:numId="106">
    <w:abstractNumId w:val="22"/>
    <w:lvlOverride w:ilvl="0">
      <w:startOverride w:val="1"/>
    </w:lvlOverride>
  </w:num>
  <w:num w:numId="107">
    <w:abstractNumId w:val="22"/>
    <w:lvlOverride w:ilvl="0">
      <w:startOverride w:val="1"/>
    </w:lvlOverride>
  </w:num>
  <w:num w:numId="108">
    <w:abstractNumId w:val="22"/>
    <w:lvlOverride w:ilvl="0">
      <w:startOverride w:val="1"/>
    </w:lvlOverride>
  </w:num>
  <w:num w:numId="109">
    <w:abstractNumId w:val="22"/>
    <w:lvlOverride w:ilvl="0">
      <w:startOverride w:val="1"/>
    </w:lvlOverride>
  </w:num>
  <w:num w:numId="110">
    <w:abstractNumId w:val="22"/>
    <w:lvlOverride w:ilvl="0">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hideGrammaticalErrors/>
  <w:proofState w:spelling="clean" w:grammar="clean"/>
  <w:stylePaneFormatFilter w:val="3802" w:allStyles="0" w:customStyles="1"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31E4"/>
    <w:rsid w:val="00006C7D"/>
    <w:rsid w:val="00020B7A"/>
    <w:rsid w:val="00027637"/>
    <w:rsid w:val="00043CF9"/>
    <w:rsid w:val="00046384"/>
    <w:rsid w:val="000501F9"/>
    <w:rsid w:val="00055566"/>
    <w:rsid w:val="000555B5"/>
    <w:rsid w:val="000812AB"/>
    <w:rsid w:val="00086B10"/>
    <w:rsid w:val="000A443D"/>
    <w:rsid w:val="000A4DD6"/>
    <w:rsid w:val="000C7CA7"/>
    <w:rsid w:val="000D022D"/>
    <w:rsid w:val="000D7665"/>
    <w:rsid w:val="00102C90"/>
    <w:rsid w:val="00110549"/>
    <w:rsid w:val="001107CE"/>
    <w:rsid w:val="0012504C"/>
    <w:rsid w:val="00127C72"/>
    <w:rsid w:val="001470BC"/>
    <w:rsid w:val="00187A35"/>
    <w:rsid w:val="001978ED"/>
    <w:rsid w:val="001A14ED"/>
    <w:rsid w:val="001D4805"/>
    <w:rsid w:val="001E691D"/>
    <w:rsid w:val="002103A9"/>
    <w:rsid w:val="00214746"/>
    <w:rsid w:val="002239BF"/>
    <w:rsid w:val="00225A25"/>
    <w:rsid w:val="0024361E"/>
    <w:rsid w:val="0027063C"/>
    <w:rsid w:val="002802B6"/>
    <w:rsid w:val="002933B6"/>
    <w:rsid w:val="00295E01"/>
    <w:rsid w:val="002A6BA0"/>
    <w:rsid w:val="002D04D1"/>
    <w:rsid w:val="002D55E7"/>
    <w:rsid w:val="00316B2D"/>
    <w:rsid w:val="003321E8"/>
    <w:rsid w:val="00333297"/>
    <w:rsid w:val="003443D8"/>
    <w:rsid w:val="00356BEE"/>
    <w:rsid w:val="00362E9F"/>
    <w:rsid w:val="00363FA8"/>
    <w:rsid w:val="003900DE"/>
    <w:rsid w:val="00392EC3"/>
    <w:rsid w:val="00393252"/>
    <w:rsid w:val="00396F8D"/>
    <w:rsid w:val="003A19A1"/>
    <w:rsid w:val="003C63B6"/>
    <w:rsid w:val="003E1C90"/>
    <w:rsid w:val="004234FB"/>
    <w:rsid w:val="00426298"/>
    <w:rsid w:val="004273C1"/>
    <w:rsid w:val="00443963"/>
    <w:rsid w:val="00494D0A"/>
    <w:rsid w:val="004A3A0C"/>
    <w:rsid w:val="004C763C"/>
    <w:rsid w:val="004D6D5A"/>
    <w:rsid w:val="004E35BB"/>
    <w:rsid w:val="004F00FF"/>
    <w:rsid w:val="00516232"/>
    <w:rsid w:val="0052288C"/>
    <w:rsid w:val="00530087"/>
    <w:rsid w:val="005546B1"/>
    <w:rsid w:val="00574973"/>
    <w:rsid w:val="00575F8E"/>
    <w:rsid w:val="00581DCE"/>
    <w:rsid w:val="005846CC"/>
    <w:rsid w:val="005908F6"/>
    <w:rsid w:val="005912BF"/>
    <w:rsid w:val="005A3ABE"/>
    <w:rsid w:val="005C2132"/>
    <w:rsid w:val="005D0235"/>
    <w:rsid w:val="005D24B7"/>
    <w:rsid w:val="005D6263"/>
    <w:rsid w:val="005D7727"/>
    <w:rsid w:val="005F3F69"/>
    <w:rsid w:val="005F5A2F"/>
    <w:rsid w:val="00643B96"/>
    <w:rsid w:val="006449B6"/>
    <w:rsid w:val="00647AC5"/>
    <w:rsid w:val="0065678B"/>
    <w:rsid w:val="0066362E"/>
    <w:rsid w:val="006744F6"/>
    <w:rsid w:val="0068740B"/>
    <w:rsid w:val="00693DCC"/>
    <w:rsid w:val="006957E2"/>
    <w:rsid w:val="00697BBD"/>
    <w:rsid w:val="006B1F0B"/>
    <w:rsid w:val="006C56E9"/>
    <w:rsid w:val="006D473C"/>
    <w:rsid w:val="006D7816"/>
    <w:rsid w:val="006E190E"/>
    <w:rsid w:val="006F375C"/>
    <w:rsid w:val="007133D6"/>
    <w:rsid w:val="007140D1"/>
    <w:rsid w:val="00715FA1"/>
    <w:rsid w:val="00737C86"/>
    <w:rsid w:val="00752B3C"/>
    <w:rsid w:val="00754552"/>
    <w:rsid w:val="00775C2D"/>
    <w:rsid w:val="00785D04"/>
    <w:rsid w:val="0079330F"/>
    <w:rsid w:val="00795307"/>
    <w:rsid w:val="007B134C"/>
    <w:rsid w:val="007B32FC"/>
    <w:rsid w:val="007B5BC7"/>
    <w:rsid w:val="007C5889"/>
    <w:rsid w:val="007E71E3"/>
    <w:rsid w:val="007F69B4"/>
    <w:rsid w:val="007F7743"/>
    <w:rsid w:val="008032E6"/>
    <w:rsid w:val="00803C68"/>
    <w:rsid w:val="0080735B"/>
    <w:rsid w:val="00833827"/>
    <w:rsid w:val="00836E3E"/>
    <w:rsid w:val="00836F97"/>
    <w:rsid w:val="00837FF3"/>
    <w:rsid w:val="0084091D"/>
    <w:rsid w:val="00863DBD"/>
    <w:rsid w:val="0087717E"/>
    <w:rsid w:val="00890BEE"/>
    <w:rsid w:val="008A222B"/>
    <w:rsid w:val="008B0173"/>
    <w:rsid w:val="008B65D8"/>
    <w:rsid w:val="008C6810"/>
    <w:rsid w:val="008E628B"/>
    <w:rsid w:val="008F0068"/>
    <w:rsid w:val="009159A2"/>
    <w:rsid w:val="00936812"/>
    <w:rsid w:val="009407C9"/>
    <w:rsid w:val="00946DA5"/>
    <w:rsid w:val="00954B58"/>
    <w:rsid w:val="00961F78"/>
    <w:rsid w:val="009808C6"/>
    <w:rsid w:val="009A6B7A"/>
    <w:rsid w:val="009B2D3E"/>
    <w:rsid w:val="009B47B0"/>
    <w:rsid w:val="009C654C"/>
    <w:rsid w:val="009C7455"/>
    <w:rsid w:val="009D3220"/>
    <w:rsid w:val="009E31F1"/>
    <w:rsid w:val="00A0573A"/>
    <w:rsid w:val="00A12981"/>
    <w:rsid w:val="00A25C11"/>
    <w:rsid w:val="00A26909"/>
    <w:rsid w:val="00A57566"/>
    <w:rsid w:val="00A602B1"/>
    <w:rsid w:val="00A74A68"/>
    <w:rsid w:val="00A81544"/>
    <w:rsid w:val="00A95202"/>
    <w:rsid w:val="00A96C5F"/>
    <w:rsid w:val="00AA7FE7"/>
    <w:rsid w:val="00AB5A88"/>
    <w:rsid w:val="00AD7F89"/>
    <w:rsid w:val="00AE2EB5"/>
    <w:rsid w:val="00B127D9"/>
    <w:rsid w:val="00B165FF"/>
    <w:rsid w:val="00B2656F"/>
    <w:rsid w:val="00B35590"/>
    <w:rsid w:val="00B42470"/>
    <w:rsid w:val="00B54522"/>
    <w:rsid w:val="00B571F0"/>
    <w:rsid w:val="00B609DC"/>
    <w:rsid w:val="00B62E87"/>
    <w:rsid w:val="00B80EA2"/>
    <w:rsid w:val="00B85454"/>
    <w:rsid w:val="00B931E4"/>
    <w:rsid w:val="00BA1053"/>
    <w:rsid w:val="00BA5F40"/>
    <w:rsid w:val="00BE0BE3"/>
    <w:rsid w:val="00C47723"/>
    <w:rsid w:val="00C52077"/>
    <w:rsid w:val="00C76D3D"/>
    <w:rsid w:val="00C965EE"/>
    <w:rsid w:val="00C97965"/>
    <w:rsid w:val="00CA7C65"/>
    <w:rsid w:val="00CB5F76"/>
    <w:rsid w:val="00CC05AE"/>
    <w:rsid w:val="00CC5DF9"/>
    <w:rsid w:val="00CC7A6E"/>
    <w:rsid w:val="00D0101F"/>
    <w:rsid w:val="00D0441B"/>
    <w:rsid w:val="00D22374"/>
    <w:rsid w:val="00D360A8"/>
    <w:rsid w:val="00D77FFC"/>
    <w:rsid w:val="00D85DEA"/>
    <w:rsid w:val="00D9013F"/>
    <w:rsid w:val="00DA2E56"/>
    <w:rsid w:val="00DB0AF4"/>
    <w:rsid w:val="00DB347C"/>
    <w:rsid w:val="00DB5419"/>
    <w:rsid w:val="00DC15C9"/>
    <w:rsid w:val="00DC7060"/>
    <w:rsid w:val="00DD480E"/>
    <w:rsid w:val="00DD741E"/>
    <w:rsid w:val="00E04D74"/>
    <w:rsid w:val="00E23DAF"/>
    <w:rsid w:val="00E27FCA"/>
    <w:rsid w:val="00E303E1"/>
    <w:rsid w:val="00E368D0"/>
    <w:rsid w:val="00E37AF8"/>
    <w:rsid w:val="00E43098"/>
    <w:rsid w:val="00E55119"/>
    <w:rsid w:val="00E82792"/>
    <w:rsid w:val="00EA0C6A"/>
    <w:rsid w:val="00EB61D2"/>
    <w:rsid w:val="00EC5D3F"/>
    <w:rsid w:val="00EF089F"/>
    <w:rsid w:val="00EF77DE"/>
    <w:rsid w:val="00F00623"/>
    <w:rsid w:val="00F41D9C"/>
    <w:rsid w:val="00F90864"/>
    <w:rsid w:val="00FA04B4"/>
    <w:rsid w:val="00FA0F37"/>
    <w:rsid w:val="00FB243C"/>
    <w:rsid w:val="00FD3248"/>
    <w:rsid w:val="00FE14F3"/>
    <w:rsid w:val="00FE72CC"/>
    <w:rsid w:val="00FF586F"/>
    <w:rsid w:val="00FF5917"/>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B5A3F5"/>
  <w15:docId w15:val="{E787B704-679E-4B5E-804E-9EE4A98B1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GB"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4D6D5A"/>
    <w:pPr>
      <w:keepLines/>
      <w:spacing w:after="120" w:line="216" w:lineRule="auto"/>
    </w:pPr>
    <w:rPr>
      <w:rFonts w:ascii="Arial" w:hAnsi="Arial"/>
      <w:spacing w:val="-6"/>
      <w:sz w:val="16"/>
      <w:lang w:eastAsia="en-US"/>
    </w:rPr>
  </w:style>
  <w:style w:type="paragraph" w:styleId="Heading1">
    <w:name w:val="heading 1"/>
    <w:basedOn w:val="Normal"/>
    <w:next w:val="Normal"/>
    <w:link w:val="Heading1Char"/>
    <w:qFormat/>
    <w:rsid w:val="00392EC3"/>
    <w:pPr>
      <w:keepNext/>
      <w:numPr>
        <w:numId w:val="2"/>
      </w:numPr>
      <w:spacing w:before="240" w:after="60"/>
      <w:outlineLvl w:val="0"/>
    </w:pPr>
    <w:rPr>
      <w:rFonts w:ascii="Arial Bold" w:hAnsi="Arial Bold"/>
      <w:b/>
      <w:spacing w:val="0"/>
      <w:sz w:val="24"/>
    </w:rPr>
  </w:style>
  <w:style w:type="paragraph" w:styleId="Heading2">
    <w:name w:val="heading 2"/>
    <w:basedOn w:val="Normal"/>
    <w:next w:val="Normal"/>
    <w:link w:val="Heading2Char"/>
    <w:qFormat/>
    <w:rsid w:val="00392EC3"/>
    <w:pPr>
      <w:keepNext/>
      <w:spacing w:before="120" w:after="60"/>
      <w:outlineLvl w:val="1"/>
    </w:pPr>
    <w:rPr>
      <w:rFonts w:ascii="Arial Bold" w:hAnsi="Arial Bold"/>
      <w:b/>
      <w:spacing w:val="0"/>
      <w:sz w:val="20"/>
    </w:rPr>
  </w:style>
  <w:style w:type="paragraph" w:styleId="Heading3">
    <w:name w:val="heading 3"/>
    <w:basedOn w:val="Normal"/>
    <w:next w:val="Normal"/>
    <w:qFormat/>
    <w:rsid w:val="00CA7C65"/>
    <w:pPr>
      <w:keepNext/>
      <w:spacing w:before="120" w:after="20"/>
      <w:outlineLvl w:val="2"/>
    </w:pPr>
    <w:rPr>
      <w:rFonts w:cs="Arial"/>
      <w:b/>
      <w:bCs/>
      <w:sz w:val="18"/>
      <w:szCs w:val="26"/>
    </w:rPr>
  </w:style>
  <w:style w:type="paragraph" w:styleId="Heading4">
    <w:name w:val="heading 4"/>
    <w:basedOn w:val="Normal"/>
    <w:next w:val="Normal"/>
    <w:unhideWhenUsed/>
    <w:qFormat/>
    <w:rsid w:val="00CA7C65"/>
    <w:pPr>
      <w:keepNext/>
      <w:spacing w:before="200"/>
      <w:outlineLvl w:val="3"/>
    </w:pPr>
    <w:rPr>
      <w:sz w:val="18"/>
    </w:rPr>
  </w:style>
  <w:style w:type="paragraph" w:styleId="Heading5">
    <w:name w:val="heading 5"/>
    <w:basedOn w:val="Normal"/>
    <w:next w:val="Normal"/>
    <w:unhideWhenUsed/>
    <w:qFormat/>
    <w:rsid w:val="00CA7C65"/>
    <w:pPr>
      <w:keepNext/>
      <w:spacing w:before="200"/>
      <w:outlineLvl w:val="4"/>
    </w:pPr>
    <w:rPr>
      <w:sz w:val="18"/>
    </w:rPr>
  </w:style>
  <w:style w:type="paragraph" w:styleId="Heading6">
    <w:name w:val="heading 6"/>
    <w:basedOn w:val="Normal"/>
    <w:next w:val="Normal"/>
    <w:unhideWhenUsed/>
    <w:qFormat/>
    <w:rsid w:val="00CA7C65"/>
    <w:pPr>
      <w:keepNext/>
      <w:spacing w:before="200"/>
      <w:outlineLvl w:val="5"/>
    </w:pPr>
    <w:rPr>
      <w:sz w:val="1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ullet" w:customStyle="1">
    <w:name w:val="Bullet"/>
    <w:basedOn w:val="Normal"/>
    <w:rsid w:val="00110549"/>
    <w:pPr>
      <w:numPr>
        <w:numId w:val="1"/>
      </w:numPr>
    </w:pPr>
    <w:rPr>
      <w:bCs/>
    </w:rPr>
  </w:style>
  <w:style w:type="paragraph" w:styleId="Bulletindent" w:customStyle="1">
    <w:name w:val="Bullet indent"/>
    <w:basedOn w:val="Bullet"/>
    <w:rsid w:val="00110549"/>
    <w:pPr>
      <w:numPr>
        <w:numId w:val="3"/>
      </w:numPr>
    </w:pPr>
  </w:style>
  <w:style w:type="paragraph" w:styleId="NormalAlphabet" w:customStyle="1">
    <w:name w:val="Normal Alphabet"/>
    <w:basedOn w:val="Normal"/>
    <w:rsid w:val="00110549"/>
    <w:pPr>
      <w:numPr>
        <w:ilvl w:val="2"/>
        <w:numId w:val="2"/>
      </w:numPr>
    </w:pPr>
  </w:style>
  <w:style w:type="paragraph" w:styleId="NormalNumbered" w:customStyle="1">
    <w:name w:val="Normal Numbered"/>
    <w:basedOn w:val="Normal"/>
    <w:rsid w:val="00110549"/>
    <w:pPr>
      <w:numPr>
        <w:ilvl w:val="1"/>
        <w:numId w:val="2"/>
      </w:numPr>
    </w:pPr>
  </w:style>
  <w:style w:type="paragraph" w:styleId="SchRef" w:customStyle="1">
    <w:name w:val="Sch Ref"/>
    <w:basedOn w:val="Normal"/>
    <w:next w:val="Normal"/>
    <w:rsid w:val="00110549"/>
    <w:pPr>
      <w:jc w:val="center"/>
    </w:pPr>
  </w:style>
  <w:style w:type="paragraph" w:styleId="WPref" w:customStyle="1">
    <w:name w:val="WP ref"/>
    <w:basedOn w:val="Normal"/>
    <w:next w:val="Normal"/>
    <w:rsid w:val="00110549"/>
    <w:pPr>
      <w:spacing w:before="120"/>
      <w:jc w:val="center"/>
    </w:pPr>
    <w:rPr>
      <w:rFonts w:ascii="Arial Bold" w:hAnsi="Arial Bold"/>
      <w:b/>
      <w:bCs/>
    </w:rPr>
  </w:style>
  <w:style w:type="paragraph" w:styleId="Checklist" w:customStyle="1">
    <w:name w:val="Checklist"/>
    <w:basedOn w:val="Normal"/>
    <w:link w:val="ChecklistChar"/>
    <w:rsid w:val="002D55E7"/>
    <w:rPr>
      <w:sz w:val="14"/>
    </w:rPr>
  </w:style>
  <w:style w:type="paragraph" w:styleId="ChecklistNumbered" w:customStyle="1">
    <w:name w:val="Checklist  Numbered"/>
    <w:basedOn w:val="Checklist"/>
    <w:link w:val="ChecklistNumberedChar"/>
    <w:rsid w:val="002D55E7"/>
    <w:pPr>
      <w:numPr>
        <w:numId w:val="4"/>
      </w:numPr>
    </w:pPr>
  </w:style>
  <w:style w:type="paragraph" w:styleId="Header">
    <w:name w:val="header"/>
    <w:basedOn w:val="Normal"/>
    <w:rsid w:val="00110549"/>
    <w:pPr>
      <w:tabs>
        <w:tab w:val="center" w:pos="4153"/>
        <w:tab w:val="right" w:pos="8306"/>
      </w:tabs>
    </w:pPr>
  </w:style>
  <w:style w:type="paragraph" w:styleId="Footer">
    <w:name w:val="footer"/>
    <w:basedOn w:val="Normal"/>
    <w:link w:val="FooterChar"/>
    <w:rsid w:val="00110549"/>
    <w:pPr>
      <w:tabs>
        <w:tab w:val="center" w:pos="4153"/>
        <w:tab w:val="right" w:pos="8306"/>
      </w:tabs>
    </w:pPr>
  </w:style>
  <w:style w:type="paragraph" w:styleId="BodyText">
    <w:name w:val="Body Text"/>
    <w:basedOn w:val="Normal"/>
    <w:link w:val="BodyTextChar"/>
    <w:rsid w:val="000501F9"/>
  </w:style>
  <w:style w:type="character" w:styleId="BodyTextChar" w:customStyle="1">
    <w:name w:val="Body Text Char"/>
    <w:link w:val="BodyText"/>
    <w:rsid w:val="000501F9"/>
    <w:rPr>
      <w:rFonts w:ascii="Arial" w:hAnsi="Arial"/>
      <w:spacing w:val="-2"/>
      <w:sz w:val="19"/>
      <w:lang w:eastAsia="en-US"/>
    </w:rPr>
  </w:style>
  <w:style w:type="paragraph" w:styleId="DocumentMap">
    <w:name w:val="Document Map"/>
    <w:basedOn w:val="Normal"/>
    <w:link w:val="DocumentMapChar"/>
    <w:rsid w:val="00B931E4"/>
    <w:pPr>
      <w:shd w:val="clear" w:color="auto" w:fill="000080"/>
    </w:pPr>
    <w:rPr>
      <w:rFonts w:ascii="Tahoma" w:hAnsi="Tahoma"/>
    </w:rPr>
  </w:style>
  <w:style w:type="character" w:styleId="DocumentMapChar" w:customStyle="1">
    <w:name w:val="Document Map Char"/>
    <w:link w:val="DocumentMap"/>
    <w:rsid w:val="00B931E4"/>
    <w:rPr>
      <w:rFonts w:ascii="Tahoma" w:hAnsi="Tahoma"/>
      <w:sz w:val="18"/>
      <w:shd w:val="clear" w:color="auto" w:fill="000080"/>
      <w:lang w:eastAsia="en-US"/>
    </w:rPr>
  </w:style>
  <w:style w:type="paragraph" w:styleId="indent" w:customStyle="1">
    <w:name w:val="indent"/>
    <w:basedOn w:val="Normal"/>
    <w:rsid w:val="00B931E4"/>
    <w:pPr>
      <w:tabs>
        <w:tab w:val="left" w:pos="357"/>
      </w:tabs>
      <w:ind w:left="357" w:hanging="357"/>
    </w:pPr>
  </w:style>
  <w:style w:type="character" w:styleId="indentChar" w:customStyle="1">
    <w:name w:val="indent Char"/>
    <w:rsid w:val="00B931E4"/>
    <w:rPr>
      <w:rFonts w:ascii="Arial" w:hAnsi="Arial"/>
      <w:sz w:val="18"/>
      <w:lang w:val="en-GB" w:eastAsia="en-US" w:bidi="ar-SA"/>
    </w:rPr>
  </w:style>
  <w:style w:type="paragraph" w:styleId="BalloonText">
    <w:name w:val="Balloon Text"/>
    <w:basedOn w:val="Normal"/>
    <w:link w:val="BalloonTextChar"/>
    <w:rsid w:val="00B931E4"/>
    <w:rPr>
      <w:rFonts w:ascii="Tahoma" w:hAnsi="Tahoma" w:cs="Tahoma"/>
      <w:szCs w:val="16"/>
    </w:rPr>
  </w:style>
  <w:style w:type="character" w:styleId="BalloonTextChar" w:customStyle="1">
    <w:name w:val="Balloon Text Char"/>
    <w:link w:val="BalloonText"/>
    <w:rsid w:val="00B931E4"/>
    <w:rPr>
      <w:rFonts w:ascii="Tahoma" w:hAnsi="Tahoma" w:cs="Tahoma"/>
      <w:sz w:val="16"/>
      <w:szCs w:val="16"/>
      <w:lang w:eastAsia="en-US"/>
    </w:rPr>
  </w:style>
  <w:style w:type="table" w:styleId="TableGrid">
    <w:name w:val="Table Grid"/>
    <w:basedOn w:val="TableNormal"/>
    <w:rsid w:val="007B32F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hecklistChar" w:customStyle="1">
    <w:name w:val="Checklist Char"/>
    <w:link w:val="Checklist"/>
    <w:rsid w:val="00B931E4"/>
    <w:rPr>
      <w:rFonts w:ascii="Arial" w:hAnsi="Arial"/>
      <w:sz w:val="14"/>
      <w:lang w:eastAsia="en-US"/>
    </w:rPr>
  </w:style>
  <w:style w:type="character" w:styleId="indentCharChar" w:customStyle="1">
    <w:name w:val="indent Char Char"/>
    <w:rsid w:val="00B931E4"/>
    <w:rPr>
      <w:rFonts w:ascii="Arial" w:hAnsi="Arial"/>
      <w:sz w:val="18"/>
      <w:lang w:val="en-GB" w:eastAsia="en-US" w:bidi="ar-SA"/>
    </w:rPr>
  </w:style>
  <w:style w:type="character" w:styleId="PageNumber">
    <w:name w:val="page number"/>
    <w:rsid w:val="00B931E4"/>
  </w:style>
  <w:style w:type="character" w:styleId="ChecklistNumberedChar" w:customStyle="1">
    <w:name w:val="Checklist  Numbered Char"/>
    <w:link w:val="ChecklistNumbered"/>
    <w:rsid w:val="00B931E4"/>
    <w:rPr>
      <w:rFonts w:ascii="Arial" w:hAnsi="Arial"/>
      <w:sz w:val="14"/>
      <w:lang w:eastAsia="en-US"/>
    </w:rPr>
  </w:style>
  <w:style w:type="character" w:styleId="CommentReference">
    <w:name w:val="annotation reference"/>
    <w:uiPriority w:val="99"/>
    <w:rsid w:val="00B931E4"/>
    <w:rPr>
      <w:sz w:val="16"/>
      <w:szCs w:val="16"/>
    </w:rPr>
  </w:style>
  <w:style w:type="paragraph" w:styleId="CommentText">
    <w:name w:val="annotation text"/>
    <w:basedOn w:val="Normal"/>
    <w:link w:val="CommentTextChar"/>
    <w:uiPriority w:val="99"/>
    <w:rsid w:val="00B931E4"/>
    <w:rPr>
      <w:sz w:val="20"/>
    </w:rPr>
  </w:style>
  <w:style w:type="character" w:styleId="CommentTextChar" w:customStyle="1">
    <w:name w:val="Comment Text Char"/>
    <w:link w:val="CommentText"/>
    <w:uiPriority w:val="99"/>
    <w:rsid w:val="00B931E4"/>
    <w:rPr>
      <w:rFonts w:ascii="Arial" w:hAnsi="Arial"/>
      <w:lang w:eastAsia="en-US"/>
    </w:rPr>
  </w:style>
  <w:style w:type="paragraph" w:styleId="CommentSubject">
    <w:name w:val="annotation subject"/>
    <w:basedOn w:val="CommentText"/>
    <w:next w:val="CommentText"/>
    <w:link w:val="CommentSubjectChar"/>
    <w:rsid w:val="00B931E4"/>
    <w:rPr>
      <w:b/>
      <w:bCs/>
    </w:rPr>
  </w:style>
  <w:style w:type="character" w:styleId="CommentSubjectChar" w:customStyle="1">
    <w:name w:val="Comment Subject Char"/>
    <w:link w:val="CommentSubject"/>
    <w:rsid w:val="00B931E4"/>
    <w:rPr>
      <w:rFonts w:ascii="Arial" w:hAnsi="Arial"/>
      <w:b/>
      <w:bCs/>
      <w:lang w:eastAsia="en-US"/>
    </w:rPr>
  </w:style>
  <w:style w:type="character" w:styleId="FooterChar" w:customStyle="1">
    <w:name w:val="Footer Char"/>
    <w:link w:val="Footer"/>
    <w:rsid w:val="001470BC"/>
    <w:rPr>
      <w:rFonts w:ascii="Arial" w:hAnsi="Arial"/>
      <w:sz w:val="18"/>
      <w:lang w:eastAsia="en-US"/>
    </w:rPr>
  </w:style>
  <w:style w:type="character" w:styleId="Heading2Char" w:customStyle="1">
    <w:name w:val="Heading 2 Char"/>
    <w:link w:val="Heading2"/>
    <w:rsid w:val="00392EC3"/>
    <w:rPr>
      <w:rFonts w:ascii="Arial Bold" w:hAnsi="Arial Bold"/>
      <w:b/>
      <w:lang w:eastAsia="en-US"/>
    </w:rPr>
  </w:style>
  <w:style w:type="paragraph" w:styleId="FootnoteText">
    <w:name w:val="footnote text"/>
    <w:basedOn w:val="Normal"/>
    <w:link w:val="FootnoteTextChar"/>
    <w:rsid w:val="00363FA8"/>
    <w:rPr>
      <w:sz w:val="20"/>
    </w:rPr>
  </w:style>
  <w:style w:type="character" w:styleId="FootnoteTextChar" w:customStyle="1">
    <w:name w:val="Footnote Text Char"/>
    <w:link w:val="FootnoteText"/>
    <w:rsid w:val="00363FA8"/>
    <w:rPr>
      <w:rFonts w:ascii="Arial" w:hAnsi="Arial"/>
      <w:lang w:eastAsia="en-US"/>
    </w:rPr>
  </w:style>
  <w:style w:type="character" w:styleId="FootnoteReference">
    <w:name w:val="footnote reference"/>
    <w:rsid w:val="00363FA8"/>
    <w:rPr>
      <w:vertAlign w:val="superscript"/>
    </w:rPr>
  </w:style>
  <w:style w:type="paragraph" w:styleId="Revision">
    <w:name w:val="Revision"/>
    <w:hidden/>
    <w:uiPriority w:val="99"/>
    <w:semiHidden/>
    <w:rsid w:val="00363FA8"/>
    <w:rPr>
      <w:rFonts w:ascii="Arial" w:hAnsi="Arial"/>
      <w:sz w:val="14"/>
      <w:lang w:eastAsia="en-US"/>
    </w:rPr>
  </w:style>
  <w:style w:type="character" w:styleId="Hyperlink">
    <w:name w:val="Hyperlink"/>
    <w:uiPriority w:val="99"/>
    <w:unhideWhenUsed/>
    <w:rsid w:val="00363FA8"/>
    <w:rPr>
      <w:color w:val="0000FF"/>
      <w:u w:val="single"/>
    </w:rPr>
  </w:style>
  <w:style w:type="paragraph" w:styleId="indent20" w:customStyle="1">
    <w:name w:val="indent20"/>
    <w:basedOn w:val="Normal"/>
    <w:rsid w:val="00363FA8"/>
    <w:pPr>
      <w:spacing w:before="100" w:beforeAutospacing="1" w:after="100" w:afterAutospacing="1"/>
    </w:pPr>
    <w:rPr>
      <w:rFonts w:ascii="Times New Roman" w:hAnsi="Times New Roman"/>
      <w:sz w:val="24"/>
      <w:szCs w:val="24"/>
      <w:lang w:eastAsia="en-GB"/>
    </w:rPr>
  </w:style>
  <w:style w:type="paragraph" w:styleId="indent10" w:customStyle="1">
    <w:name w:val="indent10"/>
    <w:basedOn w:val="Normal"/>
    <w:rsid w:val="00363FA8"/>
    <w:pPr>
      <w:spacing w:before="100" w:beforeAutospacing="1" w:after="100" w:afterAutospacing="1"/>
    </w:pPr>
    <w:rPr>
      <w:rFonts w:ascii="Times New Roman" w:hAnsi="Times New Roman"/>
      <w:sz w:val="24"/>
      <w:szCs w:val="24"/>
      <w:lang w:eastAsia="en-GB"/>
    </w:rPr>
  </w:style>
  <w:style w:type="character" w:styleId="Strong">
    <w:name w:val="Strong"/>
    <w:uiPriority w:val="22"/>
    <w:qFormat/>
    <w:rsid w:val="00363FA8"/>
    <w:rPr>
      <w:b/>
      <w:bCs/>
    </w:rPr>
  </w:style>
  <w:style w:type="paragraph" w:styleId="indent30" w:customStyle="1">
    <w:name w:val="indent30"/>
    <w:basedOn w:val="Normal"/>
    <w:rsid w:val="00363FA8"/>
    <w:pPr>
      <w:spacing w:before="100" w:beforeAutospacing="1" w:after="100" w:afterAutospacing="1"/>
    </w:pPr>
    <w:rPr>
      <w:rFonts w:ascii="Times New Roman" w:hAnsi="Times New Roman"/>
      <w:sz w:val="24"/>
      <w:szCs w:val="24"/>
      <w:lang w:eastAsia="en-GB"/>
    </w:rPr>
  </w:style>
  <w:style w:type="paragraph" w:styleId="Subtitle">
    <w:name w:val="Subtitle"/>
    <w:basedOn w:val="Normal"/>
    <w:next w:val="Normal"/>
    <w:link w:val="SubtitleChar"/>
    <w:qFormat/>
    <w:rsid w:val="00AA7FE7"/>
    <w:pPr>
      <w:keepNext/>
      <w:spacing w:before="240" w:after="60"/>
      <w:outlineLvl w:val="1"/>
    </w:pPr>
    <w:rPr>
      <w:spacing w:val="-12"/>
      <w:sz w:val="28"/>
      <w:szCs w:val="24"/>
    </w:rPr>
  </w:style>
  <w:style w:type="character" w:styleId="SubtitleChar" w:customStyle="1">
    <w:name w:val="Subtitle Char"/>
    <w:link w:val="Subtitle"/>
    <w:rsid w:val="00AA7FE7"/>
    <w:rPr>
      <w:rFonts w:ascii="Arial" w:hAnsi="Arial"/>
      <w:spacing w:val="-12"/>
      <w:sz w:val="28"/>
      <w:szCs w:val="24"/>
      <w:lang w:eastAsia="en-US"/>
    </w:rPr>
  </w:style>
  <w:style w:type="paragraph" w:styleId="Title">
    <w:name w:val="Title"/>
    <w:basedOn w:val="Normal"/>
    <w:next w:val="Normal"/>
    <w:link w:val="TitleChar"/>
    <w:qFormat/>
    <w:rsid w:val="00392EC3"/>
    <w:pPr>
      <w:keepNext/>
      <w:tabs>
        <w:tab w:val="left" w:pos="7371"/>
      </w:tabs>
      <w:spacing w:before="240" w:after="60"/>
      <w:outlineLvl w:val="0"/>
    </w:pPr>
    <w:rPr>
      <w:rFonts w:ascii="Arial Bold" w:hAnsi="Arial Bold" w:eastAsia="Arial Unicode MS"/>
      <w:b/>
      <w:bCs/>
      <w:spacing w:val="-10"/>
      <w:kern w:val="28"/>
      <w:sz w:val="40"/>
      <w:szCs w:val="32"/>
    </w:rPr>
  </w:style>
  <w:style w:type="character" w:styleId="TitleChar" w:customStyle="1">
    <w:name w:val="Title Char"/>
    <w:link w:val="Title"/>
    <w:rsid w:val="00392EC3"/>
    <w:rPr>
      <w:rFonts w:ascii="Arial Bold" w:hAnsi="Arial Bold" w:eastAsia="Arial Unicode MS"/>
      <w:b/>
      <w:bCs/>
      <w:spacing w:val="-10"/>
      <w:kern w:val="28"/>
      <w:sz w:val="40"/>
      <w:szCs w:val="32"/>
      <w:lang w:eastAsia="en-US"/>
    </w:rPr>
  </w:style>
  <w:style w:type="table" w:styleId="TableGrid5">
    <w:name w:val="Table Grid 5"/>
    <w:basedOn w:val="TableNormal"/>
    <w:rsid w:val="009E31F1"/>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3">
    <w:name w:val="Table Grid 3"/>
    <w:basedOn w:val="TableNormal"/>
    <w:rsid w:val="009E31F1"/>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4">
    <w:name w:val="Table Grid 4"/>
    <w:basedOn w:val="TableNormal"/>
    <w:rsid w:val="009E31F1"/>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table" w:customStyle="1">
    <w:name w:val="table"/>
    <w:basedOn w:val="TableNormal"/>
    <w:uiPriority w:val="99"/>
    <w:rsid w:val="002239BF"/>
    <w:rPr>
      <w:rFonts w:ascii="Arial" w:hAnsi="Arial"/>
      <w:sz w:val="16"/>
    </w:rPr>
    <w:tblPr>
      <w:tblStyleRowBandSize w:val="1"/>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jc w:val="center"/>
    </w:trPr>
    <w:tblStylePr w:type="firstRow">
      <w:pPr>
        <w:wordWrap/>
        <w:spacing w:before="0" w:beforeLines="0" w:beforeAutospacing="0" w:after="0" w:afterLines="0" w:afterAutospacing="0" w:line="240" w:lineRule="auto"/>
      </w:pPr>
      <w:rPr>
        <w:rFonts w:ascii="Arial" w:hAnsi="Arial"/>
        <w:b w:val="0"/>
      </w:rPr>
      <w:tblPr/>
      <w:tcPr>
        <w:vAlign w:val="center"/>
      </w:tcPr>
    </w:tblStylePr>
    <w:tblStylePr w:type="firstCol">
      <w:tblPr/>
      <w:tcPr>
        <w:tcBorders>
          <w:top w:val="single" w:color="auto" w:sz="4" w:space="0"/>
          <w:left w:val="single" w:color="auto" w:sz="4" w:space="0"/>
          <w:bottom w:val="single" w:color="auto" w:sz="4" w:space="0"/>
          <w:right w:val="single" w:color="auto" w:sz="4" w:space="0"/>
          <w:insideH w:val="nil"/>
          <w:insideV w:val="nil"/>
          <w:tl2br w:val="nil"/>
          <w:tr2bl w:val="nil"/>
        </w:tcBorders>
      </w:tcPr>
    </w:tblStylePr>
    <w:tblStylePr w:type="band1Horz">
      <w:pPr>
        <w:wordWrap/>
      </w:pPr>
    </w:tblStylePr>
  </w:style>
  <w:style w:type="paragraph" w:styleId="Left" w:customStyle="1">
    <w:name w:val="Left"/>
    <w:basedOn w:val="Normal"/>
    <w:qFormat/>
    <w:rsid w:val="009E31F1"/>
  </w:style>
  <w:style w:type="table" w:styleId="ColorfulGrid-Accent6">
    <w:name w:val="Colorful Grid Accent 6"/>
    <w:basedOn w:val="TableNormal"/>
    <w:uiPriority w:val="73"/>
    <w:rsid w:val="009E31F1"/>
    <w:rPr>
      <w:color w:val="000000" w:themeColor="text1"/>
    </w:rPr>
    <w:tblPr>
      <w:tblStyleRowBandSize w:val="1"/>
      <w:tblStyleColBandSize w:val="1"/>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Right" w:customStyle="1">
    <w:name w:val="Right"/>
    <w:basedOn w:val="Normal"/>
    <w:qFormat/>
    <w:rsid w:val="009E31F1"/>
    <w:pPr>
      <w:jc w:val="right"/>
    </w:pPr>
  </w:style>
  <w:style w:type="paragraph" w:styleId="Full" w:customStyle="1">
    <w:name w:val="Full"/>
    <w:basedOn w:val="Right"/>
    <w:qFormat/>
    <w:rsid w:val="00426298"/>
    <w:pPr>
      <w:jc w:val="center"/>
    </w:pPr>
  </w:style>
  <w:style w:type="character" w:styleId="Bold" w:customStyle="1">
    <w:name w:val="Bold"/>
    <w:basedOn w:val="DefaultParagraphFont"/>
    <w:uiPriority w:val="1"/>
    <w:rsid w:val="00BA5F40"/>
    <w:rPr>
      <w:b/>
    </w:rPr>
  </w:style>
  <w:style w:type="character" w:styleId="Underline" w:customStyle="1">
    <w:name w:val="Underline"/>
    <w:basedOn w:val="DefaultParagraphFont"/>
    <w:uiPriority w:val="1"/>
    <w:qFormat/>
    <w:rsid w:val="009E31F1"/>
  </w:style>
  <w:style w:type="paragraph" w:styleId="HighlightBox" w:customStyle="1">
    <w:name w:val="HighlightBox"/>
    <w:basedOn w:val="Normal"/>
    <w:qFormat/>
    <w:rsid w:val="00426298"/>
    <w:pPr>
      <w:framePr w:wrap="notBeside" w:hAnchor="text" w:vAnchor="text" w:xAlign="center" w:y="1"/>
      <w:pBdr>
        <w:top w:val="single" w:color="auto" w:sz="4" w:space="1"/>
        <w:left w:val="single" w:color="auto" w:sz="4" w:space="4"/>
        <w:bottom w:val="single" w:color="auto" w:sz="4" w:space="1"/>
        <w:right w:val="single" w:color="auto" w:sz="4" w:space="4"/>
      </w:pBdr>
      <w:shd w:val="clear" w:color="auto" w:fill="F2F2F2" w:themeFill="background1" w:themeFillShade="F2"/>
    </w:pPr>
    <w:rPr>
      <w:b/>
    </w:rPr>
  </w:style>
  <w:style w:type="table" w:styleId="Merciagrid" w:customStyle="1">
    <w:name w:val="Merciagrid"/>
    <w:basedOn w:val="table"/>
    <w:uiPriority w:val="99"/>
    <w:rsid w:val="007140D1"/>
    <w:pPr>
      <w:outlineLvl w:val="2"/>
    </w:pPr>
    <w:tblPr>
      <w:tblCellMar>
        <w:top w:w="85" w:type="dxa"/>
        <w:left w:w="113" w:type="dxa"/>
        <w:bottom w:w="85" w:type="dxa"/>
        <w:right w:w="113" w:type="dxa"/>
      </w:tblCellMar>
    </w:tblPr>
    <w:trPr>
      <w:cantSplit/>
    </w:trPr>
    <w:tcPr>
      <w:shd w:val="clear" w:color="auto" w:fill="auto"/>
      <w:tcMar>
        <w:top w:w="28" w:type="dxa"/>
        <w:left w:w="28" w:type="dxa"/>
        <w:bottom w:w="28" w:type="dxa"/>
        <w:right w:w="28" w:type="dxa"/>
      </w:tcMar>
    </w:tcPr>
    <w:tblStylePr w:type="firstRow">
      <w:pPr>
        <w:wordWrap/>
        <w:spacing w:before="0" w:beforeLines="0" w:beforeAutospacing="0" w:after="0" w:afterLines="0" w:afterAutospacing="0" w:line="240" w:lineRule="auto"/>
      </w:pPr>
      <w:rPr>
        <w:rFonts w:ascii="Arial" w:hAnsi="Arial"/>
        <w:b/>
        <w:sz w:val="18"/>
      </w:rPr>
      <w:tblPr>
        <w:tblCellMar>
          <w:top w:w="85" w:type="dxa"/>
          <w:left w:w="28" w:type="dxa"/>
          <w:bottom w:w="85" w:type="dxa"/>
          <w:right w:w="28" w:type="dxa"/>
        </w:tblCellMar>
      </w:tblPr>
      <w:trPr>
        <w:cantSplit w:val="0"/>
        <w:tblHeader/>
      </w:trPr>
      <w:tcPr>
        <w:tcMar>
          <w:top w:w="0" w:type="nil"/>
          <w:left w:w="28" w:type="dxa"/>
          <w:bottom w:w="0" w:type="nil"/>
          <w:right w:w="28" w:type="dxa"/>
        </w:tcMar>
        <w:vAlign w:val="center"/>
      </w:tcPr>
    </w:tblStylePr>
    <w:tblStylePr w:type="firstCol">
      <w:tblPr/>
      <w:tcPr>
        <w:tcBorders>
          <w:top w:val="single" w:color="auto" w:sz="4" w:space="0"/>
          <w:left w:val="single" w:color="auto" w:sz="4" w:space="0"/>
          <w:bottom w:val="single" w:color="auto" w:sz="4" w:space="0"/>
          <w:right w:val="single" w:color="auto" w:sz="4" w:space="0"/>
          <w:insideH w:val="nil"/>
          <w:insideV w:val="nil"/>
          <w:tl2br w:val="nil"/>
          <w:tr2bl w:val="nil"/>
        </w:tcBorders>
      </w:tcPr>
    </w:tblStylePr>
    <w:tblStylePr w:type="band1Horz">
      <w:pPr>
        <w:wordWrap/>
      </w:pPr>
      <w:rPr>
        <w:rFonts w:ascii="Arial" w:hAnsi="Arial"/>
        <w:sz w:val="18"/>
      </w:rPr>
      <w:tblPr/>
      <w:trPr>
        <w:cantSplit w:val="0"/>
      </w:trPr>
    </w:tblStylePr>
    <w:tblStylePr w:type="band2Horz">
      <w:tblPr/>
      <w:trPr>
        <w:cantSplit w:val="0"/>
      </w:trPr>
    </w:tblStylePr>
  </w:style>
  <w:style w:type="table" w:styleId="ChecklistTable" w:customStyle="1">
    <w:name w:val="ChecklistTable"/>
    <w:basedOn w:val="Merciagrid"/>
    <w:uiPriority w:val="99"/>
    <w:rsid w:val="004D6D5A"/>
    <w:pPr>
      <w:contextualSpacing/>
    </w:pPr>
    <w:tblPr/>
    <w:tcPr>
      <w:shd w:val="clear" w:color="auto" w:fill="auto"/>
    </w:tcPr>
    <w:tblStylePr w:type="firstRow">
      <w:pPr>
        <w:wordWrap/>
        <w:spacing w:before="100" w:beforeLines="0" w:beforeAutospacing="1" w:after="100" w:afterLines="0" w:afterAutospacing="1" w:line="240" w:lineRule="auto"/>
      </w:pPr>
      <w:rPr>
        <w:rFonts w:ascii="Arial" w:hAnsi="Arial"/>
        <w:b/>
        <w:sz w:val="18"/>
      </w:rPr>
      <w:tblPr>
        <w:tblCellMar>
          <w:top w:w="28" w:type="dxa"/>
          <w:left w:w="28" w:type="dxa"/>
          <w:bottom w:w="28" w:type="dxa"/>
          <w:right w:w="28" w:type="dxa"/>
        </w:tblCellMar>
      </w:tblPr>
      <w:trPr>
        <w:cantSplit w:val="0"/>
        <w:tblHeader/>
      </w:trPr>
      <w:tcPr>
        <w:tcMar>
          <w:top w:w="113" w:type="dxa"/>
          <w:left w:w="0" w:type="nil"/>
          <w:bottom w:w="113" w:type="dxa"/>
          <w:right w:w="0" w:type="nil"/>
        </w:tcMar>
        <w:vAlign w:val="center"/>
      </w:tcPr>
    </w:tblStylePr>
    <w:tblStylePr w:type="firstCol">
      <w:tblPr/>
      <w:tcPr>
        <w:tcBorders>
          <w:top w:val="single" w:color="auto" w:sz="4" w:space="0"/>
          <w:left w:val="single" w:color="auto" w:sz="4" w:space="0"/>
          <w:bottom w:val="single" w:color="auto" w:sz="4" w:space="0"/>
          <w:right w:val="single" w:color="auto" w:sz="4" w:space="0"/>
          <w:insideH w:val="nil"/>
          <w:insideV w:val="nil"/>
          <w:tl2br w:val="nil"/>
          <w:tr2bl w:val="nil"/>
        </w:tcBorders>
        <w:shd w:val="clear" w:color="auto" w:fill="FFFFFF" w:themeFill="background1"/>
      </w:tcPr>
    </w:tblStylePr>
    <w:tblStylePr w:type="band1Horz">
      <w:pPr>
        <w:wordWrap/>
      </w:pPr>
      <w:rPr>
        <w:rFonts w:ascii="Arial" w:hAnsi="Arial"/>
        <w:sz w:val="18"/>
      </w:rPr>
      <w:tblPr/>
      <w:trPr>
        <w:cantSplit w:val="0"/>
      </w:trPr>
      <w:tcPr>
        <w:shd w:val="clear" w:color="auto" w:fill="auto"/>
      </w:tcPr>
    </w:tblStylePr>
    <w:tblStylePr w:type="band2Horz">
      <w:tblPr/>
      <w:trPr>
        <w:cantSplit w:val="0"/>
      </w:trPr>
    </w:tblStylePr>
  </w:style>
  <w:style w:type="character" w:styleId="BookTitle">
    <w:name w:val="Book Title"/>
    <w:basedOn w:val="DefaultParagraphFont"/>
    <w:uiPriority w:val="33"/>
    <w:rsid w:val="00CC5DF9"/>
    <w:rPr>
      <w:b/>
      <w:bCs/>
      <w:smallCaps/>
      <w:spacing w:val="5"/>
    </w:rPr>
  </w:style>
  <w:style w:type="paragraph" w:styleId="Objective" w:customStyle="1">
    <w:name w:val="Objective"/>
    <w:basedOn w:val="Normal"/>
    <w:qFormat/>
    <w:rsid w:val="00494D0A"/>
    <w:pPr>
      <w:pBdr>
        <w:top w:val="single" w:color="FFFFFF" w:themeColor="background1" w:sz="2" w:space="6"/>
        <w:left w:val="single" w:color="auto" w:sz="24" w:space="4"/>
        <w:bottom w:val="single" w:color="FFFFFF" w:themeColor="background1" w:sz="2" w:space="6"/>
      </w:pBdr>
      <w:shd w:val="clear" w:color="auto" w:fill="EBE9E9"/>
      <w:snapToGrid w:val="0"/>
      <w:spacing w:before="60"/>
      <w:ind w:left="142"/>
    </w:pPr>
    <w:rPr>
      <w:spacing w:val="4"/>
      <w:sz w:val="20"/>
    </w:rPr>
  </w:style>
  <w:style w:type="paragraph" w:styleId="Guidance" w:customStyle="1">
    <w:name w:val="Guidance"/>
    <w:basedOn w:val="Normal"/>
    <w:link w:val="GuidanceChar"/>
    <w:qFormat/>
    <w:rsid w:val="00754552"/>
    <w:pPr>
      <w:keepNext/>
      <w:shd w:val="clear" w:color="auto" w:fill="EBE9E9"/>
      <w:spacing w:before="120" w:line="240" w:lineRule="auto"/>
    </w:pPr>
    <w:rPr>
      <w:i/>
      <w:sz w:val="14"/>
    </w:rPr>
  </w:style>
  <w:style w:type="table" w:styleId="TableClassic1">
    <w:name w:val="Table Classic 1"/>
    <w:basedOn w:val="TableNormal"/>
    <w:rsid w:val="0084091D"/>
    <w:pPr>
      <w:spacing w:after="120"/>
    </w:pPr>
    <w:rPr>
      <w:rFonts w:ascii="Arial" w:hAnsi="Arial"/>
    </w:rPr>
    <w:tblPr/>
    <w:trPr>
      <w:tblHeader/>
    </w:trPr>
    <w:tcPr>
      <w:shd w:val="clear" w:color="auto" w:fill="auto"/>
    </w:tcPr>
    <w:tblStylePr w:type="firstRow">
      <w:rPr>
        <w:i w:val="0"/>
        <w:iCs/>
      </w:rPr>
      <w:tblPr/>
      <w:tcPr>
        <w:tcBorders>
          <w:bottom w:val="single" w:color="000000" w:sz="6" w:space="0"/>
        </w:tcBorders>
        <w:shd w:val="clear" w:color="auto" w:fill="auto"/>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3Deffects3">
    <w:name w:val="Table 3D effects 3"/>
    <w:basedOn w:val="TableNormal"/>
    <w:rsid w:val="0084091D"/>
    <w:pPr>
      <w:spacing w:after="120"/>
    </w:pPr>
    <w:tblPr>
      <w:tblStyleRowBandSize w:val="1"/>
      <w:tblStyleColBandSize w:val="1"/>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Columar" w:customStyle="1">
    <w:name w:val="Columar"/>
    <w:basedOn w:val="TableNormal"/>
    <w:uiPriority w:val="99"/>
    <w:rsid w:val="006F375C"/>
    <w:rPr>
      <w:rFonts w:ascii="Arial" w:hAnsi="Arial"/>
      <w:sz w:val="16"/>
    </w:rPr>
    <w:tblPr>
      <w:tblStyleRowBandSize w:val="1"/>
      <w:tblBorders>
        <w:insideV w:val="single" w:color="000000" w:sz="12" w:space="0"/>
      </w:tblBorders>
    </w:tblPr>
    <w:trPr>
      <w:cantSplit/>
    </w:trPr>
    <w:tblStylePr w:type="firstRow">
      <w:pPr>
        <w:keepNext/>
        <w:keepLines/>
        <w:wordWrap/>
        <w:spacing w:before="0" w:beforeLines="0" w:beforeAutospacing="0"/>
      </w:pPr>
      <w:tblPr/>
      <w:trPr>
        <w:cantSplit w:val="0"/>
        <w:tblHeader/>
      </w:trPr>
    </w:tblStylePr>
    <w:tblStylePr w:type="lastCol">
      <w:tblPr/>
      <w:trPr>
        <w:cantSplit w:val="0"/>
      </w:trPr>
    </w:tblStylePr>
  </w:style>
  <w:style w:type="character" w:styleId="Reference" w:customStyle="1">
    <w:name w:val="Reference"/>
    <w:basedOn w:val="DefaultParagraphFont"/>
    <w:uiPriority w:val="1"/>
    <w:qFormat/>
    <w:rsid w:val="001A14ED"/>
    <w:rPr>
      <w:sz w:val="16"/>
    </w:rPr>
  </w:style>
  <w:style w:type="paragraph" w:styleId="ListParagraph">
    <w:name w:val="List Paragraph"/>
    <w:basedOn w:val="Normal"/>
    <w:uiPriority w:val="34"/>
    <w:qFormat/>
    <w:rsid w:val="000D7665"/>
    <w:pPr>
      <w:keepLines w:val="0"/>
      <w:snapToGrid w:val="0"/>
      <w:spacing w:before="120" w:line="240" w:lineRule="auto"/>
      <w:contextualSpacing/>
    </w:pPr>
    <w:rPr>
      <w:rFonts w:cs="Arial" w:eastAsiaTheme="minorEastAsia"/>
      <w:szCs w:val="19"/>
      <w:lang w:val="en" w:eastAsia="zh-TW"/>
    </w:rPr>
  </w:style>
  <w:style w:type="character" w:styleId="Heading1Char" w:customStyle="1">
    <w:name w:val="Heading 1 Char"/>
    <w:basedOn w:val="DefaultParagraphFont"/>
    <w:link w:val="Heading1"/>
    <w:rsid w:val="00392EC3"/>
    <w:rPr>
      <w:rFonts w:ascii="Arial Bold" w:hAnsi="Arial Bold"/>
      <w:b/>
      <w:sz w:val="24"/>
      <w:lang w:eastAsia="en-US"/>
    </w:rPr>
  </w:style>
  <w:style w:type="paragraph" w:styleId="ListNumber">
    <w:name w:val="List Number"/>
    <w:basedOn w:val="Normal"/>
    <w:autoRedefine/>
    <w:rsid w:val="00E27FCA"/>
    <w:pPr>
      <w:numPr>
        <w:numId w:val="10"/>
      </w:numPr>
      <w:ind w:left="1134" w:hanging="567"/>
      <w:contextualSpacing/>
    </w:pPr>
  </w:style>
  <w:style w:type="paragraph" w:styleId="NormalWeb">
    <w:name w:val="Normal (Web)"/>
    <w:basedOn w:val="Normal"/>
    <w:rsid w:val="007B5BC7"/>
    <w:rPr>
      <w:rFonts w:ascii="Times New Roman" w:hAnsi="Times New Roman"/>
      <w:sz w:val="24"/>
      <w:szCs w:val="24"/>
    </w:rPr>
  </w:style>
  <w:style w:type="table" w:styleId="LayoutTable" w:customStyle="1">
    <w:name w:val="LayoutTable"/>
    <w:basedOn w:val="Columar"/>
    <w:uiPriority w:val="99"/>
    <w:rsid w:val="009B47B0"/>
    <w:tblPr>
      <w:tblBorders>
        <w:insideV w:val="none" w:color="auto" w:sz="0" w:space="0"/>
      </w:tblBorders>
    </w:tblPr>
    <w:trPr>
      <w:cantSplit w:val="0"/>
    </w:trPr>
    <w:tblStylePr w:type="firstRow">
      <w:pPr>
        <w:keepNext/>
        <w:keepLines/>
        <w:wordWrap/>
        <w:spacing w:before="0" w:beforeLines="0" w:beforeAutospacing="0"/>
      </w:pPr>
      <w:tblPr/>
      <w:trPr>
        <w:cantSplit w:val="0"/>
        <w:tblHeader/>
      </w:trPr>
    </w:tblStylePr>
    <w:tblStylePr w:type="lastCol">
      <w:tblPr/>
      <w:trPr>
        <w:cantSplit w:val="0"/>
      </w:trPr>
    </w:tblStylePr>
  </w:style>
  <w:style w:type="character" w:styleId="Italic" w:customStyle="1">
    <w:name w:val="Italic"/>
    <w:basedOn w:val="DefaultParagraphFont"/>
    <w:uiPriority w:val="1"/>
    <w:rsid w:val="00020B7A"/>
    <w:rPr>
      <w:i/>
    </w:rPr>
  </w:style>
  <w:style w:type="character" w:styleId="Emphasis">
    <w:name w:val="Emphasis"/>
    <w:basedOn w:val="DefaultParagraphFont"/>
    <w:qFormat/>
    <w:rsid w:val="000555B5"/>
    <w:rPr>
      <w:rFonts w:ascii="Arial" w:hAnsi="Arial"/>
      <w:i/>
      <w:iCs/>
    </w:rPr>
  </w:style>
  <w:style w:type="character" w:styleId="GuidanceChar" w:customStyle="1">
    <w:name w:val="Guidance Char"/>
    <w:basedOn w:val="DefaultParagraphFont"/>
    <w:link w:val="Guidance"/>
    <w:rsid w:val="00754552"/>
    <w:rPr>
      <w:rFonts w:ascii="Arial" w:hAnsi="Arial"/>
      <w:i/>
      <w:spacing w:val="-6"/>
      <w:sz w:val="14"/>
      <w:shd w:val="clear" w:color="auto" w:fill="EBE9E9"/>
      <w:lang w:eastAsia="en-US"/>
    </w:rPr>
  </w:style>
  <w:style w:type="paragraph" w:styleId="Center" w:customStyle="1">
    <w:name w:val="Center"/>
    <w:basedOn w:val="Normal"/>
    <w:qFormat/>
    <w:rsid w:val="005A3ABE"/>
    <w:pPr>
      <w:jc w:val="center"/>
    </w:pPr>
  </w:style>
  <w:style w:type="table" w:styleId="MerciagridNoHeadings" w:customStyle="1">
    <w:name w:val="MerciagridNoHeadings"/>
    <w:basedOn w:val="table"/>
    <w:uiPriority w:val="99"/>
    <w:rsid w:val="002239BF"/>
    <w:tblPr/>
    <w:tblStylePr w:type="firstRow">
      <w:pPr>
        <w:wordWrap/>
        <w:spacing w:before="0" w:beforeLines="0" w:beforeAutospacing="0" w:after="0" w:afterLines="0" w:afterAutospacing="0" w:line="240" w:lineRule="auto"/>
      </w:pPr>
      <w:rPr>
        <w:rFonts w:ascii="Arial" w:hAnsi="Arial"/>
        <w:b w:val="0"/>
      </w:rPr>
      <w:tblPr/>
      <w:tcPr>
        <w:vAlign w:val="center"/>
      </w:tcPr>
    </w:tblStylePr>
    <w:tblStylePr w:type="firstCol">
      <w:tblPr/>
      <w:tcPr>
        <w:tcBorders>
          <w:top w:val="single" w:color="auto" w:sz="4" w:space="0"/>
          <w:left w:val="single" w:color="auto" w:sz="4" w:space="0"/>
          <w:bottom w:val="single" w:color="auto" w:sz="4" w:space="0"/>
          <w:right w:val="single" w:color="auto" w:sz="4" w:space="0"/>
          <w:insideH w:val="nil"/>
          <w:insideV w:val="nil"/>
          <w:tl2br w:val="nil"/>
          <w:tr2bl w:val="nil"/>
        </w:tcBorders>
      </w:tcPr>
    </w:tblStylePr>
    <w:tblStylePr w:type="band1Horz">
      <w:pPr>
        <w:wordWrap/>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684581">
      <w:bodyDiv w:val="1"/>
      <w:marLeft w:val="0"/>
      <w:marRight w:val="0"/>
      <w:marTop w:val="0"/>
      <w:marBottom w:val="0"/>
      <w:divBdr>
        <w:top w:val="none" w:sz="0" w:space="0" w:color="auto"/>
        <w:left w:val="none" w:sz="0" w:space="0" w:color="auto"/>
        <w:bottom w:val="none" w:sz="0" w:space="0" w:color="auto"/>
        <w:right w:val="none" w:sz="0" w:space="0" w:color="auto"/>
      </w:divBdr>
    </w:div>
    <w:div w:id="796919262">
      <w:bodyDiv w:val="1"/>
      <w:marLeft w:val="0"/>
      <w:marRight w:val="0"/>
      <w:marTop w:val="0"/>
      <w:marBottom w:val="0"/>
      <w:divBdr>
        <w:top w:val="none" w:sz="0" w:space="0" w:color="auto"/>
        <w:left w:val="none" w:sz="0" w:space="0" w:color="auto"/>
        <w:bottom w:val="none" w:sz="0" w:space="0" w:color="auto"/>
        <w:right w:val="none" w:sz="0" w:space="0" w:color="auto"/>
      </w:divBdr>
    </w:div>
    <w:div w:id="1567297728">
      <w:bodyDiv w:val="1"/>
      <w:marLeft w:val="0"/>
      <w:marRight w:val="0"/>
      <w:marTop w:val="0"/>
      <w:marBottom w:val="0"/>
      <w:divBdr>
        <w:top w:val="none" w:sz="0" w:space="0" w:color="auto"/>
        <w:left w:val="none" w:sz="0" w:space="0" w:color="auto"/>
        <w:bottom w:val="none" w:sz="0" w:space="0" w:color="auto"/>
        <w:right w:val="none" w:sz="0" w:space="0" w:color="auto"/>
      </w:divBdr>
    </w:div>
    <w:div w:id="1767921846">
      <w:bodyDiv w:val="1"/>
      <w:marLeft w:val="0"/>
      <w:marRight w:val="0"/>
      <w:marTop w:val="0"/>
      <w:marBottom w:val="0"/>
      <w:divBdr>
        <w:top w:val="none" w:sz="0" w:space="0" w:color="auto"/>
        <w:left w:val="none" w:sz="0" w:space="0" w:color="auto"/>
        <w:bottom w:val="none" w:sz="0" w:space="0" w:color="auto"/>
        <w:right w:val="none" w:sz="0" w:space="0" w:color="auto"/>
      </w:divBdr>
    </w:div>
    <w:div w:id="1841042774">
      <w:bodyDiv w:val="1"/>
      <w:marLeft w:val="0"/>
      <w:marRight w:val="0"/>
      <w:marTop w:val="0"/>
      <w:marBottom w:val="0"/>
      <w:divBdr>
        <w:top w:val="none" w:sz="0" w:space="0" w:color="auto"/>
        <w:left w:val="none" w:sz="0" w:space="0" w:color="auto"/>
        <w:bottom w:val="none" w:sz="0" w:space="0" w:color="auto"/>
        <w:right w:val="none" w:sz="0" w:space="0" w:color="auto"/>
      </w:divBdr>
    </w:div>
    <w:div w:id="1922983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 Type="http://schemas.openxmlformats.org/officeDocument/2006/relationships/hyperlink" Target="https://www.thepensionsregulator.gov.uk/en/document-library/consultations/new-code-of-practice" TargetMode="External" Id="R42f09923c472479b" /><Relationship Type="http://schemas.openxmlformats.org/officeDocument/2006/relationships/footer" Target="/word/footer1.xml" Id="Footer99" /><Relationship Type="http://schemas.openxmlformats.org/officeDocument/2006/relationships/header" Target="/word/header1.xml" Id="Header9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CB68CC-0FA8-44A7-A6FD-13D076E93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2724</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2a A32 small (FRS 102 1A)</vt:lpstr>
    </vt:vector>
  </TitlesOfParts>
  <Company>Mercia Group Limited</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2a A32 small (FRS 102 1A)</dc:title>
  <dc:creator>Mercia</dc:creator>
  <cp:lastModifiedBy>Jamie Moore</cp:lastModifiedBy>
  <cp:revision>92</cp:revision>
  <cp:lastPrinted>2004-12-15T14:21:00Z</cp:lastPrinted>
  <dcterms:created xsi:type="dcterms:W3CDTF">2020-05-06T15:56:00Z</dcterms:created>
  <dcterms:modified xsi:type="dcterms:W3CDTF">2021-05-10T14:29:00Z</dcterms:modified>
</cp:coreProperties>
</file>