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Heading1"/>
        <w:rPr>
          <w:lang w:val="en"/>
        </w:rPr>
        <w:bidi w:val="false"/>
      </w:pPr>
      <w:r>
        <w:t xml:space="preserve">Update - April 2023</w:t>
      </w:r>
    </w:p>
    <w:p>
      <w:pPr>
        <w:pStyle w:val="Heading2"/>
        <w:rPr>
          <w:lang w:val="en"/>
        </w:rPr>
        <w:bidi w:val="false"/>
      </w:pPr>
      <w:r>
        <w:t xml:space="preserve">What's changed</w:t>
      </w:r>
    </w:p>
    <w:p>
      <w:pPr>
        <w:rPr>
          <w:lang w:val="en"/>
        </w:rPr>
        <w:bidi w:val="false"/>
      </w:pPr>
      <w:r>
        <w:t xml:space="preserve">We are pleased to issue updates to your Mercia FCA Investment Firms Manual (dated 04/23).</w:t>
      </w:r>
    </w:p>
    <w:p>
      <w:pPr>
        <w:rPr>
          <w:lang w:val="en"/>
        </w:rPr>
        <w:bidi w:val="false"/>
      </w:pPr>
      <w:r>
        <w:t xml:space="preserve">The principal technical changes in this update include the removal of content relating to the now superseded ISQCs and consequential amendments arising as a result of this. The FCA Investment Firms Manual address engagement level quality management, with the </w:t>
      </w:r>
      <w:hyperlink w:history="true" r:id="R02cc35bfb309437a">
        <w:r>
          <w:rPr>
            <w:rStyle w:val="Hyperlink"/>
          </w:rPr>
          <w:t xml:space="preserve">Quality Management Manual</w:t>
        </w:r>
      </w:hyperlink>
      <w:r>
        <w:t xml:space="preserve"> addressing firm wide requirements. </w:t>
      </w:r>
    </w:p>
    <w:p>
      <w:pPr>
        <w:rPr>
          <w:lang w:val="en"/>
        </w:rPr>
        <w:bidi w:val="false"/>
      </w:pPr>
      <w:r>
        <w:t xml:space="preserve">In addition a number of minor amendments / improvements have been made to other sections of the FCA Investment Firms Manual, including updating engagement letters to reflect latest guidance. </w:t>
      </w:r>
    </w:p>
    <w:p>
      <w:pPr>
        <w:rPr>
          <w:lang w:val="en"/>
        </w:rPr>
        <w:bidi w:val="false"/>
      </w:pPr>
      <w:r>
        <w:t xml:space="preserve">See below for a full list of changes. </w:t>
      </w:r>
    </w:p>
    <w:p>
      <w:pPr>
        <w:pStyle w:val="Heading2"/>
        <w:rPr>
          <w:lang w:val="en"/>
        </w:rPr>
        <w:bidi w:val="false"/>
      </w:pPr>
      <w:r>
        <w:t xml:space="preserve">Contact us </w:t>
      </w:r>
    </w:p>
    <w:p>
      <w:pPr>
        <w:rPr>
          <w:lang w:val="en"/>
        </w:rPr>
        <w:bidi w:val="false"/>
      </w:pPr>
      <w:r>
        <w:t xml:space="preserve">We are always pleased to receive feedback on our manuals, including any improvements that you would like to see incorporated. Please contact me if you have any comments to make.</w:t>
      </w:r>
    </w:p>
    <w:p>
      <w:pPr>
        <w:rPr>
          <w:lang w:val="en"/>
        </w:rPr>
        <w:bidi w:val="false"/>
      </w:pPr>
      <w:r>
        <w:t xml:space="preserve">Andy Holton</w:t>
      </w:r>
    </w:p>
    <w:p>
      <w:pPr>
        <w:rPr>
          <w:lang w:val="en"/>
        </w:rPr>
        <w:bidi w:val="false"/>
      </w:pPr>
      <w:r>
        <w:t xml:space="preserve">April 2023</w:t>
      </w:r>
    </w:p>
    <w:p>
      <w:pPr>
        <w:pStyle w:val="Heading2"/>
        <w:rPr>
          <w:lang w:val="en"/>
        </w:rPr>
        <w:bidi w:val="false"/>
      </w:pPr>
      <w:r>
        <w:t xml:space="preserve">April 2023 - Detailed list of changes</w:t>
      </w:r>
    </w:p>
    <w:p>
      <w:pPr>
        <w:rPr>
          <w:lang w:val="en"/>
        </w:rPr>
        <w:bidi w:val="false"/>
      </w:pPr>
      <w:r>
        <w:t xml:space="preserve">The below table provides a detailed list of changes within the manual. In addition to the items listed below, minor changes have been made for formatting, grammar, and other editorial amendments. </w:t>
      </w:r>
    </w:p>
    <w:tbl>
      <w:tblPr>
        <w:tblStyle w:val="TableGrid"/>
        <w:tblW w:w="4908.91" w:type="pct"/>
        <w:tblBorders>
          <w:top w:val="none"/>
          <w:left w:val="none"/>
          <w:bottom w:val="none"/>
          <w:right w:val="none"/>
          <w:insideH w:val="none"/>
          <w:insideV w:val="none"/>
        </w:tblBorders>
      </w:tblPr>
      <w:tblGrid>
        <w:gridCol/>
        <w:gridCol/>
      </w:tblGrid>
      <w:tr>
        <w:trPr>
          <w:trHeight w:val="300" w:hRule="atLeast"/>
        </w:trPr>
        <w:trHeight w:val="300" w:hRule="atLeast"/>
        <w:tc>
          <w:tcPr>
            <w:tcW w:w="1802.88" w:type="pct"/>
            <w:vAlign w:val="center"/>
            <w:shd w:val="clear" w:color="auto" w:fill="E9E9E9"/>
          </w:tcPr>
          <w:p>
            <w:r>
              <w:rPr>
                <w:shd w:val="clear" w:fill="E9E9E9"/>
              </w:rPr>
              <w:t xml:space="preserve">Updated area</w:t>
            </w:r>
          </w:p>
        </w:tc>
        <w:trHeight w:val="300" w:hRule="atLeast"/>
        <w:tc>
          <w:tcPr>
            <w:tcW w:w="3194.36" w:type="pct"/>
            <w:vAlign w:val="center"/>
            <w:shd w:val="clear" w:color="auto" w:fill="E9E9E9"/>
          </w:tcPr>
          <w:p>
            <w:r>
              <w:rPr>
                <w:shd w:val="clear" w:fill="E9E9E9"/>
              </w:rPr>
              <w:t xml:space="preserve">Main reason for change</w:t>
            </w:r>
          </w:p>
        </w:tc>
      </w:tr>
      <w:tr>
        <w:trPr>
          <w:trHeight w:val="615" w:hRule="atLeast"/>
        </w:trPr>
        <w:trHeight w:val="615" w:hRule="atLeast"/>
        <w:tc>
          <w:tcPr>
            <w:tcW w:w="1802.88" w:type="pct"/>
            <w:vAlign w:val="top"/>
          </w:tcPr>
          <w:p>
            <w:r>
              <w:rPr>
                <w:rStyle w:val="Bold"/>
              </w:rPr>
              <w:t xml:space="preserve">Guidance</w:t>
            </w:r>
          </w:p>
        </w:tc>
        <w:trHeight w:val="615" w:hRule="atLeast"/>
        <w:tc>
          <w:tcPr>
            <w:tcW w:w="3194.36" w:type="pct"/>
            <w:vAlign w:val="top"/>
          </w:tcPr>
          <w:p>
            <w:r>
              <w:t xml:space="preserve"> </w:t>
            </w:r>
          </w:p>
        </w:tc>
      </w:tr>
      <w:tr>
        <w:tc>
          <w:tcPr>
            <w:tcW w:w="1802.88" w:type="pct"/>
            <w:tcMar>
              <w:left w:w="450" w:type="dxa"/>
            </w:tcMar>
            <w:vAlign w:val="top"/>
          </w:tcPr>
          <w:p>
            <w:r>
              <w:t xml:space="preserve">Guidance notes</w:t>
            </w:r>
          </w:p>
        </w:tc>
        <w:tc>
          <w:tcPr>
            <w:tcW w:w="3194.36" w:type="pct"/>
            <w:vAlign w:val="top"/>
          </w:tcPr>
          <w:p>
            <w:pPr>
              <w:pStyle w:val="ListParagraph"/>
              <w:numPr>
                <w:ilvl w:val="0"/>
                <w:numId w:val="27"/>
              </w:numPr>
              <w:rPr>
                <w:lang w:val="en"/>
              </w:rPr>
              <w:bidi w:val="false"/>
            </w:pPr>
            <w:r>
              <w:t xml:space="preserve">Guidance notes updated for the changes made in this update.</w:t>
            </w:r>
          </w:p>
        </w:tc>
      </w:tr>
      <w:tr>
        <w:trPr>
          <w:trHeight w:val="615" w:hRule="atLeast"/>
        </w:trPr>
        <w:trHeight w:val="615" w:hRule="atLeast"/>
        <w:tc>
          <w:tcPr>
            <w:tcW w:w="1802.88" w:type="pct"/>
            <w:tcMar>
              <w:left w:w="450" w:type="dxa"/>
            </w:tcMar>
            <w:vAlign w:val="top"/>
          </w:tcPr>
          <w:p>
            <w:r>
              <w:t xml:space="preserve">What’s changed</w:t>
            </w:r>
          </w:p>
        </w:tc>
        <w:trHeight w:val="615" w:hRule="atLeast"/>
        <w:tc>
          <w:tcPr>
            <w:tcW w:w="3194.36" w:type="pct"/>
            <w:vAlign w:val="top"/>
          </w:tcPr>
          <w:p>
            <w:pPr>
              <w:pStyle w:val="ListParagraph"/>
              <w:numPr>
                <w:ilvl w:val="0"/>
                <w:numId w:val="28"/>
              </w:numPr>
              <w:rPr>
                <w:lang w:val="en"/>
              </w:rPr>
              <w:bidi w:val="false"/>
            </w:pPr>
            <w:r>
              <w:t xml:space="preserve">A copy of this What's changed notice has been added to the manual. </w:t>
            </w:r>
          </w:p>
        </w:tc>
      </w:tr>
      <w:tr>
        <w:trPr>
          <w:trHeight w:val="300" w:hRule="atLeast"/>
        </w:trPr>
        <w:trHeight w:val="300" w:hRule="atLeast"/>
        <w:tc>
          <w:tcPr>
            <w:tcW w:w="1802.88" w:type="pct"/>
            <w:vAlign w:val="top"/>
          </w:tcPr>
          <w:p>
            <w:r>
              <w:rPr>
                <w:rStyle w:val="Bold"/>
              </w:rPr>
              <w:t xml:space="preserve">Example letters</w:t>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Engagement - Covering letter</w:t>
            </w:r>
          </w:p>
        </w:tc>
        <w:trHeight w:val="630" w:hRule="atLeast"/>
        <w:tc>
          <w:tcPr>
            <w:tcW w:w="3194.36" w:type="pct"/>
            <w:vAlign w:val="top"/>
          </w:tcPr>
          <w:p>
            <w:pPr>
              <w:pStyle w:val="ListParagraph"/>
              <w:numPr>
                <w:ilvl w:val="0"/>
                <w:numId w:val="29"/>
              </w:numPr>
              <w:rPr>
                <w:lang w:val="en"/>
              </w:rPr>
              <w:bidi w:val="false"/>
            </w:pPr>
            <w:r>
              <w:t xml:space="preserve">Updated the ‘professional services provided’ section to include a new paragraph which confirms whether disbursements are expected to be incurred. </w:t>
            </w:r>
          </w:p>
          <w:p>
            <w:pPr>
              <w:pStyle w:val="ListParagraph"/>
              <w:numPr>
                <w:ilvl w:val="0"/>
                <w:numId w:val="29"/>
              </w:numPr>
              <w:rPr>
                <w:lang w:val="en"/>
              </w:rPr>
              <w:bidi w:val="false"/>
            </w:pPr>
            <w:r>
              <w:t xml:space="preserve">A new section detailing how communication will be maintained throughout the engagement has been added.</w:t>
            </w:r>
          </w:p>
          <w:p>
            <w:pPr>
              <w:pStyle w:val="ListParagraph"/>
              <w:numPr>
                <w:ilvl w:val="0"/>
                <w:numId w:val="29"/>
              </w:numPr>
              <w:rPr>
                <w:lang w:val="en"/>
              </w:rPr>
              <w:bidi w:val="false"/>
            </w:pPr>
            <w:r>
              <w:t xml:space="preserve">Updated the ‘agreement of terms’ section to include reference to the firm’s privacy notice on their website and reference to the standard terms of business in relation to instances of variation or termination of the engagement.  </w:t>
            </w:r>
          </w:p>
        </w:tc>
      </w:tr>
      <w:tr>
        <w:trPr>
          <w:trHeight w:val="1530" w:hRule="atLeast"/>
        </w:trPr>
        <w:trHeight w:val="1530" w:hRule="atLeast"/>
        <w:tc>
          <w:tcPr>
            <w:tcW w:w="1802.88" w:type="pct"/>
            <w:tcMar>
              <w:left w:w="450" w:type="dxa"/>
            </w:tcMar>
            <w:vAlign w:val="top"/>
          </w:tcPr>
          <w:p>
            <w:r>
              <w:t xml:space="preserve">Engagement - Schedule of professional services - statutory audit</w:t>
            </w:r>
          </w:p>
        </w:tc>
        <w:trHeight w:val="1530" w:hRule="atLeast"/>
        <w:tc>
          <w:tcPr>
            <w:tcW w:w="3194.36" w:type="pct"/>
            <w:vAlign w:val="top"/>
          </w:tcPr>
          <w:p>
            <w:pPr>
              <w:pStyle w:val="ListParagraph"/>
              <w:numPr>
                <w:ilvl w:val="0"/>
                <w:numId w:val="30"/>
              </w:numPr>
              <w:rPr>
                <w:lang w:val="en"/>
              </w:rPr>
              <w:bidi w:val="false"/>
            </w:pPr>
            <w:r>
              <w:t xml:space="preserve">Moved the paragraph highlighted the client’s responsibility towards publishing electronic information from the ‘Scope of audit’ section to the ‘Your responsibilities’ section. </w:t>
            </w:r>
          </w:p>
          <w:p>
            <w:pPr>
              <w:pStyle w:val="ListParagraph"/>
              <w:numPr>
                <w:ilvl w:val="0"/>
                <w:numId w:val="30"/>
              </w:numPr>
              <w:rPr>
                <w:lang w:val="en"/>
              </w:rPr>
              <w:bidi w:val="false"/>
            </w:pPr>
            <w:r>
              <w:t xml:space="preserve">Added an optional paragraph in the ‘Our responsibilities’ section highlighting that the auditors have a statutory requirement to communicate with the group auditor.</w:t>
            </w:r>
          </w:p>
          <w:p>
            <w:pPr>
              <w:pStyle w:val="ListParagraph"/>
              <w:numPr>
                <w:ilvl w:val="0"/>
                <w:numId w:val="30"/>
              </w:numPr>
              <w:rPr>
                <w:lang w:val="en"/>
              </w:rPr>
              <w:bidi w:val="false"/>
            </w:pPr>
            <w:r>
              <w:t xml:space="preserve">Included a paragraph in ‘Our responsibilities’ confirming that the client is to be informed should matters or significant facts arise that may raise ethical concerns. </w:t>
            </w:r>
          </w:p>
          <w:p>
            <w:pPr>
              <w:pStyle w:val="ListParagraph"/>
              <w:numPr>
                <w:ilvl w:val="0"/>
                <w:numId w:val="30"/>
              </w:numPr>
              <w:rPr>
                <w:lang w:val="en"/>
              </w:rPr>
              <w:bidi w:val="false"/>
            </w:pPr>
            <w:r>
              <w:t xml:space="preserve">A paragraph was added to the ‘Scope of audit’ section explaining that the auditors may also use analytical tools in their work. </w:t>
            </w:r>
          </w:p>
        </w:tc>
      </w:tr>
      <w:tr>
        <w:trPr>
          <w:trHeight w:val="630" w:hRule="atLeast"/>
        </w:trPr>
        <w:trHeight w:val="630" w:hRule="atLeast"/>
        <w:tc>
          <w:tcPr>
            <w:tcW w:w="1802.88" w:type="pct"/>
            <w:tcMar>
              <w:left w:w="450" w:type="dxa"/>
            </w:tcMar>
            <w:vAlign w:val="top"/>
          </w:tcPr>
          <w:p>
            <w:r>
              <w:t xml:space="preserve">Engagement - Schedule of professional services - accounting </w:t>
            </w:r>
          </w:p>
        </w:tc>
        <w:trHeight w:val="630" w:hRule="atLeast"/>
        <w:tc>
          <w:tcPr>
            <w:tcW w:w="3194.36" w:type="pct"/>
            <w:vAlign w:val="top"/>
          </w:tcPr>
          <w:p>
            <w:pPr>
              <w:pStyle w:val="ListParagraph"/>
              <w:numPr>
                <w:ilvl w:val="0"/>
                <w:numId w:val="31"/>
              </w:numPr>
              <w:rPr>
                <w:lang w:val="en"/>
              </w:rPr>
              <w:bidi w:val="false"/>
            </w:pPr>
            <w:r>
              <w:t xml:space="preserve">Updated the ‘Our responsibilities’ section to clarifying that the firm will advise the client on whether their accounting records are appropriate for the preparation of financial statements.</w:t>
            </w:r>
          </w:p>
          <w:p>
            <w:pPr>
              <w:pStyle w:val="ListParagraph"/>
              <w:numPr>
                <w:ilvl w:val="0"/>
                <w:numId w:val="31"/>
              </w:numPr>
              <w:rPr>
                <w:lang w:val="en"/>
              </w:rPr>
              <w:bidi w:val="false"/>
            </w:pPr>
            <w:r>
              <w:t xml:space="preserve">Added a paragraph confirming that the firm has a professional duty to not allow its name to be associated with financial statements that could be misleading. </w:t>
            </w:r>
          </w:p>
          <w:p>
            <w:pPr>
              <w:pStyle w:val="ListParagraph"/>
              <w:numPr>
                <w:ilvl w:val="0"/>
                <w:numId w:val="31"/>
              </w:numPr>
              <w:rPr>
                <w:lang w:val="en"/>
              </w:rPr>
              <w:bidi w:val="false"/>
            </w:pPr>
            <w:r>
              <w:t xml:space="preserve">Included an optional paragraph highlighting the responsibility to provide information in iXBRL format lies with the client, should they ask the firm to convert the financial statements into the iXBRL. </w:t>
            </w:r>
          </w:p>
        </w:tc>
      </w:tr>
      <w:tr>
        <w:trPr>
          <w:trHeight w:val="630" w:hRule="atLeast"/>
        </w:trPr>
        <w:trHeight w:val="630" w:hRule="atLeast"/>
        <w:tc>
          <w:tcPr>
            <w:tcW w:w="1802.88" w:type="pct"/>
            <w:tcMar>
              <w:left w:w="450" w:type="dxa"/>
            </w:tcMar>
            <w:vAlign w:val="top"/>
          </w:tcPr>
          <w:p>
            <w:r>
              <w:t xml:space="preserve">Engagement - Schedule of professional services - taxation</w:t>
            </w:r>
          </w:p>
        </w:tc>
        <w:trHeight w:val="630" w:hRule="atLeast"/>
        <w:tc>
          <w:tcPr>
            <w:tcW w:w="3194.36" w:type="pct"/>
            <w:vAlign w:val="top"/>
          </w:tcPr>
          <w:p>
            <w:pPr>
              <w:pStyle w:val="ListParagraph"/>
              <w:numPr>
                <w:ilvl w:val="0"/>
                <w:numId w:val="32"/>
              </w:numPr>
              <w:rPr>
                <w:lang w:val="en"/>
              </w:rPr>
              <w:bidi w:val="false"/>
            </w:pPr>
            <w:r>
              <w:t xml:space="preserve">Included a paragraph confirming there may be occasions where the firm will need to seek specialist advice.</w:t>
            </w:r>
          </w:p>
          <w:p>
            <w:pPr>
              <w:pStyle w:val="ListParagraph"/>
              <w:numPr>
                <w:ilvl w:val="0"/>
                <w:numId w:val="32"/>
              </w:numPr>
              <w:rPr>
                <w:lang w:val="en"/>
              </w:rPr>
              <w:bidi w:val="false"/>
            </w:pPr>
            <w:r>
              <w:t xml:space="preserve">Added a paragraph confirming that the responsibility for monitoring turnover in respect of VAT registration thresholds lies with the client.</w:t>
            </w:r>
          </w:p>
          <w:p>
            <w:pPr>
              <w:pStyle w:val="ListParagraph"/>
              <w:numPr>
                <w:ilvl w:val="0"/>
                <w:numId w:val="32"/>
              </w:numPr>
              <w:rPr>
                <w:lang w:val="en"/>
              </w:rPr>
              <w:bidi w:val="false"/>
            </w:pPr>
            <w:r>
              <w:t xml:space="preserve">Clarification that the responsibility for employment taxes, pensions and the assessment of employment status for workers, lies with the client has also been included.</w:t>
            </w:r>
          </w:p>
        </w:tc>
      </w:tr>
      <w:tr>
        <w:trPr>
          <w:trHeight w:val="630" w:hRule="atLeast"/>
        </w:trPr>
        <w:trHeight w:val="630" w:hRule="atLeast"/>
        <w:tc>
          <w:tcPr>
            <w:tcW w:w="1802.88" w:type="pct"/>
            <w:tcMar>
              <w:left w:w="450" w:type="dxa"/>
            </w:tcMar>
            <w:vAlign w:val="top"/>
          </w:tcPr>
          <w:p>
            <w:r>
              <w:t xml:space="preserve">Engagement - Terms of business </w:t>
            </w:r>
          </w:p>
        </w:tc>
        <w:trHeight w:val="630" w:hRule="atLeast"/>
        <w:tc>
          <w:tcPr>
            <w:tcW w:w="3194.36" w:type="pct"/>
            <w:vAlign w:val="top"/>
          </w:tcPr>
          <w:p>
            <w:pPr>
              <w:pStyle w:val="ListParagraph"/>
              <w:numPr>
                <w:ilvl w:val="0"/>
                <w:numId w:val="33"/>
              </w:numPr>
              <w:rPr>
                <w:lang w:val="en"/>
              </w:rPr>
              <w:bidi w:val="false"/>
            </w:pPr>
            <w:r>
              <w:t xml:space="preserve">Updated paragraphs in the ‘Fees and payment terms’ section clarifying the use of insurance policies to cover fees, circumstances where clients are unable to pay fees and the rights of the firm to exercise a lien over all funds have also been added. </w:t>
            </w:r>
          </w:p>
          <w:p>
            <w:pPr>
              <w:pStyle w:val="ListParagraph"/>
              <w:numPr>
                <w:ilvl w:val="0"/>
                <w:numId w:val="33"/>
              </w:numPr>
              <w:rPr>
                <w:lang w:val="en"/>
              </w:rPr>
              <w:bidi w:val="false"/>
            </w:pPr>
            <w:r>
              <w:t xml:space="preserve">Added a new section detailing standard business terms in relation to confidentiality. </w:t>
            </w:r>
          </w:p>
          <w:p>
            <w:pPr>
              <w:pStyle w:val="ListParagraph"/>
              <w:numPr>
                <w:ilvl w:val="0"/>
                <w:numId w:val="33"/>
              </w:numPr>
              <w:rPr>
                <w:lang w:val="en"/>
              </w:rPr>
              <w:bidi w:val="false"/>
            </w:pPr>
            <w:r>
              <w:t xml:space="preserve">Clarification of potentials actions of the firm, should a dispute arise between parties within the engagement.</w:t>
            </w:r>
          </w:p>
        </w:tc>
      </w:tr>
      <w:tr>
        <w:tc>
          <w:tcPr>
            <w:tcW w:w="1802.88" w:type="pct"/>
            <w:vAlign w:val="top"/>
          </w:tcPr>
          <w:p>
            <w:r>
              <w:rPr>
                <w:rStyle w:val="Bold"/>
              </w:rPr>
              <w:t xml:space="preserve">Current file documents</w:t>
            </w:r>
          </w:p>
        </w:tc>
        <w:tc>
          <w:tcPr>
            <w:tcW w:w="3194.36" w:type="pct"/>
            <w:vAlign w:val="top"/>
          </w:tcPr>
          <w:p>
            <w:r>
              <w:t xml:space="preserve"> </w:t>
            </w:r>
          </w:p>
        </w:tc>
      </w:tr>
      <w:tr>
        <w:tc>
          <w:tcPr>
            <w:tcW w:w="1802.88" w:type="pct"/>
            <w:tcMar>
              <w:left w:w="450" w:type="dxa"/>
            </w:tcMar>
            <w:vAlign w:val="top"/>
          </w:tcPr>
          <w:p>
            <w:r>
              <w:t xml:space="preserve">A21-2 CASS Audit engagement quality review checklist (p/c on or after 15 Dec 21)</w:t>
            </w:r>
            <w:r>
              <w:br/>
            </w:r>
          </w:p>
        </w:tc>
        <w:tc>
          <w:tcPr>
            <w:tcW w:w="3194.36" w:type="pct"/>
            <w:vAlign w:val="top"/>
          </w:tcPr>
          <w:p>
            <w:pPr>
              <w:pStyle w:val="ListParagraph"/>
              <w:numPr>
                <w:ilvl w:val="0"/>
                <w:numId w:val="34"/>
              </w:numPr>
              <w:rPr>
                <w:lang w:val="en"/>
              </w:rPr>
              <w:bidi w:val="false"/>
            </w:pPr>
            <w:r>
              <w:t xml:space="preserve">ISQC version of form removed. </w:t>
            </w:r>
          </w:p>
          <w:p>
            <w:pPr>
              <w:pStyle w:val="ListParagraph"/>
              <w:numPr>
                <w:ilvl w:val="0"/>
                <w:numId w:val="34"/>
              </w:numPr>
              <w:rPr>
                <w:lang w:val="en"/>
              </w:rPr>
              <w:bidi w:val="false"/>
            </w:pPr>
            <w:r>
              <w:t xml:space="preserve">ISQM version retained but renamed to remove reference to ISQM as this is now the only version. </w:t>
            </w:r>
          </w:p>
        </w:tc>
      </w:tr>
      <w:tr>
        <w:tc>
          <w:tcPr>
            <w:tcW w:w="1802.88" w:type="pct"/>
            <w:tcMar>
              <w:left w:w="450" w:type="dxa"/>
            </w:tcMar>
            <w:vAlign w:val="top"/>
          </w:tcPr>
          <w:p>
            <w:r>
              <w:t xml:space="preserve">A21-2 CASS Audit engagement quality review checklist (p/c before 15 Dec 21)</w:t>
            </w:r>
          </w:p>
        </w:tc>
        <w:tc>
          <w:tcPr>
            <w:tcW w:w="3194.36" w:type="pct"/>
            <w:vAlign w:val="top"/>
          </w:tcPr>
          <w:p>
            <w:pPr>
              <w:pStyle w:val="ListParagraph"/>
              <w:numPr>
                <w:ilvl w:val="0"/>
                <w:numId w:val="35"/>
              </w:numPr>
              <w:rPr>
                <w:lang w:val="en"/>
              </w:rPr>
              <w:bidi w:val="false"/>
            </w:pPr>
            <w:r>
              <w:t xml:space="preserve">Updated to ISQM version of form. </w:t>
            </w:r>
          </w:p>
        </w:tc>
      </w:tr>
      <w:tr>
        <w:tc>
          <w:tcPr>
            <w:tcW w:w="1802.88" w:type="pct"/>
            <w:tcMar>
              <w:left w:w="450" w:type="dxa"/>
            </w:tcMar>
            <w:vAlign w:val="top"/>
          </w:tcPr>
          <w:p>
            <w:r>
              <w:t xml:space="preserve">A21-3 CASS Audit consultation review (p/c on or after 15 Dec 21)</w:t>
            </w:r>
          </w:p>
        </w:tc>
        <w:tc>
          <w:tcPr>
            <w:tcW w:w="3194.36" w:type="pct"/>
            <w:vAlign w:val="top"/>
          </w:tcPr>
          <w:p>
            <w:pPr>
              <w:pStyle w:val="ListParagraph"/>
              <w:numPr>
                <w:ilvl w:val="0"/>
                <w:numId w:val="36"/>
              </w:numPr>
              <w:rPr>
                <w:lang w:val="en"/>
              </w:rPr>
              <w:bidi w:val="false"/>
            </w:pPr>
            <w:r>
              <w:t xml:space="preserve">ISQC version of form removed. </w:t>
            </w:r>
          </w:p>
          <w:p>
            <w:pPr>
              <w:pStyle w:val="ListParagraph"/>
              <w:numPr>
                <w:ilvl w:val="0"/>
                <w:numId w:val="36"/>
              </w:numPr>
              <w:rPr>
                <w:lang w:val="en"/>
              </w:rPr>
              <w:bidi w:val="false"/>
            </w:pPr>
            <w:r>
              <w:t xml:space="preserve">ISQM version retained but renamed to remove reference to ISQM as this is now the only version. </w:t>
            </w:r>
          </w:p>
        </w:tc>
      </w:tr>
      <w:tr>
        <w:tc>
          <w:tcPr>
            <w:tcW w:w="1802.88" w:type="pct"/>
            <w:tcMar>
              <w:left w:w="450" w:type="dxa"/>
            </w:tcMar>
            <w:vAlign w:val="top"/>
          </w:tcPr>
          <w:p>
            <w:r>
              <w:t xml:space="preserve">A21-3 CASS Audit consultation review (p/c before 15 Dec 21)</w:t>
            </w:r>
            <w:r>
              <w:br/>
            </w:r>
          </w:p>
        </w:tc>
        <w:tc>
          <w:tcPr>
            <w:tcW w:w="3194.36" w:type="pct"/>
            <w:vAlign w:val="top"/>
          </w:tcPr>
          <w:p>
            <w:pPr>
              <w:pStyle w:val="ListParagraph"/>
              <w:numPr>
                <w:ilvl w:val="0"/>
                <w:numId w:val="37"/>
              </w:numPr>
              <w:rPr>
                <w:lang w:val="en"/>
              </w:rPr>
              <w:bidi w:val="false"/>
            </w:pPr>
            <w:r>
              <w:t xml:space="preserve">Included ISQM version of form. </w:t>
            </w:r>
          </w:p>
        </w:tc>
      </w:tr>
      <w:tr>
        <w:tc>
          <w:tcPr>
            <w:tcW w:w="1802.88" w:type="pct"/>
            <w:tcMar>
              <w:left w:w="450" w:type="dxa"/>
            </w:tcMar>
            <w:vAlign w:val="top"/>
          </w:tcPr>
          <w:p>
            <w:r>
              <w:t xml:space="preserve">B03 CASS Audit preliminary engagement quality review (p/c on or after 15 Dec 21)</w:t>
            </w:r>
          </w:p>
        </w:tc>
        <w:tc>
          <w:tcPr>
            <w:tcW w:w="3194.36" w:type="pct"/>
            <w:vAlign w:val="top"/>
          </w:tcPr>
          <w:p>
            <w:pPr>
              <w:pStyle w:val="ListParagraph"/>
              <w:numPr>
                <w:ilvl w:val="0"/>
                <w:numId w:val="38"/>
              </w:numPr>
              <w:rPr>
                <w:lang w:val="en"/>
              </w:rPr>
              <w:bidi w:val="false"/>
            </w:pPr>
            <w:r>
              <w:t xml:space="preserve">ISQC version of form removed. </w:t>
            </w:r>
          </w:p>
          <w:p>
            <w:pPr>
              <w:pStyle w:val="ListParagraph"/>
              <w:numPr>
                <w:ilvl w:val="0"/>
                <w:numId w:val="38"/>
              </w:numPr>
              <w:rPr>
                <w:lang w:val="en"/>
              </w:rPr>
              <w:bidi w:val="false"/>
            </w:pPr>
            <w:r>
              <w:t xml:space="preserve">ISQM version retained but renamed to remove reference to ISQM as this is now the only version. </w:t>
            </w:r>
          </w:p>
        </w:tc>
      </w:tr>
      <w:tr>
        <w:tc>
          <w:tcPr>
            <w:tcW w:w="1802.88" w:type="pct"/>
            <w:tcMar>
              <w:left w:w="450" w:type="dxa"/>
            </w:tcMar>
            <w:vAlign w:val="top"/>
          </w:tcPr>
          <w:p>
            <w:r>
              <w:t xml:space="preserve">B14 CASS Audit p</w:t>
            </w:r>
            <w:r>
              <w:t xml:space="preserve">reliminary</w:t>
            </w:r>
            <w:r>
              <w:t xml:space="preserve"> engagement quality review (p/c before 15 Dec 21)</w:t>
            </w:r>
          </w:p>
        </w:tc>
        <w:tc>
          <w:tcPr>
            <w:tcW w:w="3194.36" w:type="pct"/>
            <w:vAlign w:val="top"/>
          </w:tcPr>
          <w:p>
            <w:pPr>
              <w:pStyle w:val="ListParagraph"/>
              <w:numPr>
                <w:ilvl w:val="0"/>
                <w:numId w:val="39"/>
              </w:numPr>
              <w:rPr>
                <w:lang w:val="en"/>
              </w:rPr>
              <w:bidi w:val="false"/>
            </w:pPr>
            <w:r>
              <w:t xml:space="preserve">Updated to ISQM version of form. </w:t>
            </w:r>
          </w:p>
        </w:tc>
      </w:tr>
    </w:tbl>
    <w:p>
      <w:r>
        <w:br w:type="page"/>
      </w:r>
    </w:p>
    <w:sectPr w:rsidRPr="00494D0A" w:rsidR="00494D0A" w:rsidSect="00102C90">
      <w:pgSz w:w="11906" w:h="16838" w:code="9"/>
      <w:pgMar w:top="851" w:right="680" w:bottom="851" w:left="680" w:header="284" w:footer="284" w:gutter="0"/>
      <w:cols w:space="708"/>
      <w:docGrid w:linePitch="360"/>
      <w:footerReference w:type="default" r:id="Footer99"/>
      <w:headerReference w:type="default" r:id="Header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E46F0" w14:textId="77777777" w:rsidR="00DA2E56" w:rsidRDefault="00DA2E56">
      <w:r>
        <w:separator/>
      </w:r>
    </w:p>
  </w:endnote>
  <w:endnote w:type="continuationSeparator" w:id="0">
    <w:p w14:paraId="63C0385D" w14:textId="77777777" w:rsidR="00DA2E56" w:rsidRDefault="00DA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http://schemas.openxmlformats.org/wordprocessingml/2006/main">
  <w:tbl>
    <w:tblPr>
      <w:tblW w:w="11340" w:type="dxa"/>
      <w:tblBorders>
        <w:top w:val="nil"/>
        <w:left w:val="nil"/>
        <w:bottom w:val="nil"/>
        <w:right w:val="nil"/>
        <w:end w:val="nil"/>
        <w:insideH w:val="nil"/>
        <w:insideV w:val="nil"/>
      </w:tblBorders>
      <w:tblInd w:w="-459" w:type="dxa"/>
    </w:tblPr>
    <w:tblGrid>
      <w:gridCol w:w="5658"/>
      <w:gridCol w:w="5682"/>
    </w:tblGrid>
    <w:tr>
      <w:tc>
        <w:p>
          <w:r>
            <w:t>FCA Investment Firms Manual (formerly FCA-DIF Manual)</w:t>
          </w:r>
        </w:p>
      </w:tc>
      <w:tc>
        <w:p>
          <w:pPr>
            <w:jc w:val="right"/>
          </w:pPr>
          <w:r>
            <w:t>13/04/2023</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DDAA0" w14:textId="77777777" w:rsidR="00DA2E56" w:rsidRDefault="00DA2E56">
      <w:r>
        <w:separator/>
      </w:r>
    </w:p>
  </w:footnote>
  <w:footnote w:type="continuationSeparator" w:id="0">
    <w:p w14:paraId="682A6E7A" w14:textId="77777777" w:rsidR="00DA2E56" w:rsidRDefault="00DA2E56">
      <w:r>
        <w:continuationSeparator/>
      </w:r>
    </w:p>
  </w:footnote>
</w:footnotes>
</file>

<file path=word/header1.xml><?xml version="1.0" encoding="utf-8"?>
<w:hdr xmlns:w="http://schemas.openxmlformats.org/wordprocessingml/2006/main">
  <w:tbl>
    <w:tblPr>
      <w:tblW w:w="11340" w:type="dxa"/>
      <w:tblBorders>
        <w:top w:val="nil"/>
        <w:left w:val="nil"/>
        <w:bottom w:val="nil"/>
        <w:right w:val="nil"/>
        <w:end w:val="nil"/>
        <w:insideH w:val="nil"/>
        <w:insideV w:val="nil"/>
      </w:tblBorders>
      <w:tblInd w:w="-459" w:type="dxa"/>
    </w:tblPr>
    <w:tblGrid>
      <w:gridCol w:w="5658"/>
      <w:gridCol w:w="5682"/>
    </w:tblGrid>
    <w:tr>
      <w:tc>
        <w:p>
          <w:r>
            <w:t/>
          </w:r>
        </w:p>
      </w:tc>
      <w:tc>
        <w:p>
          <w:pPr>
            <w:jc w:val="right"/>
          </w:pPr>
          <w:r>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8EDF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D0F7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EFF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F6B9A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5025212"/>
    <w:lvl w:ilvl="0">
      <w:start w:val="1"/>
      <w:numFmt w:val="decimal"/>
      <w:pStyle w:val="ListNumber"/>
      <w:lvlText w:val="%1."/>
      <w:lvlJc w:val="left"/>
      <w:pPr>
        <w:tabs>
          <w:tab w:val="num" w:pos="360"/>
        </w:tabs>
        <w:ind w:left="360" w:hanging="360"/>
      </w:pPr>
    </w:lvl>
  </w:abstractNum>
  <w:abstractNum w:abstractNumId="5" w15:restartNumberingAfterBreak="0">
    <w:nsid w:val="029244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FB2B1E"/>
    <w:multiLevelType w:val="hybridMultilevel"/>
    <w:tmpl w:val="A556533C"/>
    <w:lvl w:ilvl="0" w:tplc="08090001">
      <w:start w:val="1"/>
      <w:numFmt w:val="bullet"/>
      <w:lvlText w:val=""/>
      <w:lvlJc w:val="left"/>
      <w:pPr>
        <w:ind w:left="862" w:hanging="360"/>
      </w:pPr>
      <w:rPr>
        <w:rFonts w:hint="default" w:ascii="Symbol" w:hAnsi="Symbol"/>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111B731F"/>
    <w:multiLevelType w:val="multilevel"/>
    <w:tmpl w:val="640807B0"/>
    <w:lvl w:ilvl="0">
      <w:start w:val="1"/>
      <w:numFmt w:val="none"/>
      <w:pStyle w:val="Heading1"/>
      <w:suff w:val="nothing"/>
      <w:lvlText w:val="%1"/>
      <w:lvlJc w:val="left"/>
      <w:pPr>
        <w:ind w:left="0" w:firstLine="0"/>
      </w:pPr>
      <w:rPr>
        <w:rFonts w:hint="default"/>
      </w:rPr>
    </w:lvl>
    <w:lvl w:ilvl="1">
      <w:start w:val="1"/>
      <w:numFmt w:val="decimal"/>
      <w:pStyle w:val="NormalNumbered"/>
      <w:lvlText w:val="%2."/>
      <w:lvlJc w:val="left"/>
      <w:pPr>
        <w:tabs>
          <w:tab w:val="num" w:pos="360"/>
        </w:tabs>
        <w:ind w:left="357" w:hanging="357"/>
      </w:pPr>
      <w:rPr>
        <w:rFonts w:hint="default"/>
      </w:rPr>
    </w:lvl>
    <w:lvl w:ilvl="2">
      <w:start w:val="1"/>
      <w:numFmt w:val="lowerLetter"/>
      <w:pStyle w:val="NormalAlphabet"/>
      <w:lvlText w:val="(%3)"/>
      <w:lvlJc w:val="left"/>
      <w:pPr>
        <w:tabs>
          <w:tab w:val="num" w:pos="720"/>
        </w:tabs>
        <w:ind w:left="720" w:hanging="363"/>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8" w15:restartNumberingAfterBreak="0">
    <w:nsid w:val="2297205F"/>
    <w:multiLevelType w:val="singleLevel"/>
    <w:tmpl w:val="00AC1DA0"/>
    <w:lvl w:ilvl="0">
      <w:start w:val="1"/>
      <w:numFmt w:val="lowerLetter"/>
      <w:suff w:val="space"/>
      <w:lvlText w:val="%1."/>
      <w:lvlJc w:val="left"/>
      <w:pPr>
        <w:ind w:left="0" w:firstLine="28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9" w15:restartNumberingAfterBreak="0">
    <w:nsid w:val="351D486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FB2375"/>
    <w:multiLevelType w:val="hybridMultilevel"/>
    <w:tmpl w:val="0E0A0128"/>
    <w:lvl w:ilvl="0" w:tplc="779E6A4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7751253"/>
    <w:multiLevelType w:val="hybridMultilevel"/>
    <w:tmpl w:val="520AE216"/>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4BDD1D4A"/>
    <w:multiLevelType w:val="singleLevel"/>
    <w:tmpl w:val="27626226"/>
    <w:lvl w:ilvl="0">
      <w:start w:val="1"/>
      <w:numFmt w:val="lowerLetter"/>
      <w:suff w:val="space"/>
      <w:lvlText w:val="%1."/>
      <w:lvlJc w:val="left"/>
      <w:pPr>
        <w:ind w:left="420" w:firstLine="14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3" w15:restartNumberingAfterBreak="0">
    <w:nsid w:val="526D58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3B101BB"/>
    <w:multiLevelType w:val="hybridMultilevel"/>
    <w:tmpl w:val="1684054C"/>
    <w:lvl w:ilvl="0" w:tplc="CBAAF6DA">
      <w:start w:val="1"/>
      <w:numFmt w:val="lowerRoman"/>
      <w:pStyle w:val="ChecklistNumbered"/>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492AE8"/>
    <w:multiLevelType w:val="hybridMultilevel"/>
    <w:tmpl w:val="A34E7F78"/>
    <w:lvl w:ilvl="0" w:tplc="E1BEC466">
      <w:start w:val="1"/>
      <w:numFmt w:val="bullet"/>
      <w:pStyle w:val="Bullet"/>
      <w:lvlText w:val=""/>
      <w:lvlJc w:val="left"/>
      <w:pPr>
        <w:tabs>
          <w:tab w:val="num" w:pos="360"/>
        </w:tabs>
        <w:ind w:left="357"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44F643B"/>
    <w:multiLevelType w:val="hybridMultilevel"/>
    <w:tmpl w:val="EBD84CB8"/>
    <w:lvl w:ilvl="0" w:tplc="1A383662">
      <w:start w:val="1"/>
      <w:numFmt w:val="bullet"/>
      <w:pStyle w:val="Bulletindent"/>
      <w:lvlText w:val=""/>
      <w:lvlJc w:val="left"/>
      <w:pPr>
        <w:tabs>
          <w:tab w:val="num" w:pos="717"/>
        </w:tabs>
        <w:ind w:left="714" w:hanging="357"/>
      </w:pPr>
      <w:rPr>
        <w:rFonts w:hint="default" w:ascii="Symbol" w:hAnsi="Symbol"/>
      </w:rPr>
    </w:lvl>
    <w:lvl w:ilvl="1" w:tplc="04090003" w:tentative="1">
      <w:start w:val="1"/>
      <w:numFmt w:val="bullet"/>
      <w:lvlText w:val="o"/>
      <w:lvlJc w:val="left"/>
      <w:pPr>
        <w:tabs>
          <w:tab w:val="num" w:pos="1797"/>
        </w:tabs>
        <w:ind w:left="1797" w:hanging="360"/>
      </w:pPr>
      <w:rPr>
        <w:rFonts w:hint="default" w:ascii="Courier New" w:hAnsi="Courier New"/>
      </w:rPr>
    </w:lvl>
    <w:lvl w:ilvl="2" w:tplc="04090005" w:tentative="1">
      <w:start w:val="1"/>
      <w:numFmt w:val="bullet"/>
      <w:lvlText w:val=""/>
      <w:lvlJc w:val="left"/>
      <w:pPr>
        <w:tabs>
          <w:tab w:val="num" w:pos="2517"/>
        </w:tabs>
        <w:ind w:left="2517" w:hanging="360"/>
      </w:pPr>
      <w:rPr>
        <w:rFonts w:hint="default" w:ascii="Wingdings" w:hAnsi="Wingdings"/>
      </w:rPr>
    </w:lvl>
    <w:lvl w:ilvl="3" w:tplc="04090001" w:tentative="1">
      <w:start w:val="1"/>
      <w:numFmt w:val="bullet"/>
      <w:lvlText w:val=""/>
      <w:lvlJc w:val="left"/>
      <w:pPr>
        <w:tabs>
          <w:tab w:val="num" w:pos="3237"/>
        </w:tabs>
        <w:ind w:left="3237" w:hanging="360"/>
      </w:pPr>
      <w:rPr>
        <w:rFonts w:hint="default" w:ascii="Symbol" w:hAnsi="Symbol"/>
      </w:rPr>
    </w:lvl>
    <w:lvl w:ilvl="4" w:tplc="04090003" w:tentative="1">
      <w:start w:val="1"/>
      <w:numFmt w:val="bullet"/>
      <w:lvlText w:val="o"/>
      <w:lvlJc w:val="left"/>
      <w:pPr>
        <w:tabs>
          <w:tab w:val="num" w:pos="3957"/>
        </w:tabs>
        <w:ind w:left="3957" w:hanging="360"/>
      </w:pPr>
      <w:rPr>
        <w:rFonts w:hint="default" w:ascii="Courier New" w:hAnsi="Courier New"/>
      </w:rPr>
    </w:lvl>
    <w:lvl w:ilvl="5" w:tplc="04090005" w:tentative="1">
      <w:start w:val="1"/>
      <w:numFmt w:val="bullet"/>
      <w:lvlText w:val=""/>
      <w:lvlJc w:val="left"/>
      <w:pPr>
        <w:tabs>
          <w:tab w:val="num" w:pos="4677"/>
        </w:tabs>
        <w:ind w:left="4677" w:hanging="360"/>
      </w:pPr>
      <w:rPr>
        <w:rFonts w:hint="default" w:ascii="Wingdings" w:hAnsi="Wingdings"/>
      </w:rPr>
    </w:lvl>
    <w:lvl w:ilvl="6" w:tplc="04090001" w:tentative="1">
      <w:start w:val="1"/>
      <w:numFmt w:val="bullet"/>
      <w:lvlText w:val=""/>
      <w:lvlJc w:val="left"/>
      <w:pPr>
        <w:tabs>
          <w:tab w:val="num" w:pos="5397"/>
        </w:tabs>
        <w:ind w:left="5397" w:hanging="360"/>
      </w:pPr>
      <w:rPr>
        <w:rFonts w:hint="default" w:ascii="Symbol" w:hAnsi="Symbol"/>
      </w:rPr>
    </w:lvl>
    <w:lvl w:ilvl="7" w:tplc="04090003" w:tentative="1">
      <w:start w:val="1"/>
      <w:numFmt w:val="bullet"/>
      <w:lvlText w:val="o"/>
      <w:lvlJc w:val="left"/>
      <w:pPr>
        <w:tabs>
          <w:tab w:val="num" w:pos="6117"/>
        </w:tabs>
        <w:ind w:left="6117" w:hanging="360"/>
      </w:pPr>
      <w:rPr>
        <w:rFonts w:hint="default" w:ascii="Courier New" w:hAnsi="Courier New"/>
      </w:rPr>
    </w:lvl>
    <w:lvl w:ilvl="8" w:tplc="04090005" w:tentative="1">
      <w:start w:val="1"/>
      <w:numFmt w:val="bullet"/>
      <w:lvlText w:val=""/>
      <w:lvlJc w:val="left"/>
      <w:pPr>
        <w:tabs>
          <w:tab w:val="num" w:pos="6837"/>
        </w:tabs>
        <w:ind w:left="6837" w:hanging="360"/>
      </w:pPr>
      <w:rPr>
        <w:rFonts w:hint="default" w:ascii="Wingdings" w:hAnsi="Wingdings"/>
      </w:rPr>
    </w:lvl>
  </w:abstractNum>
  <w:abstractNum w:abstractNumId="17" w15:restartNumberingAfterBreak="0">
    <w:nsid w:val="69702987"/>
    <w:multiLevelType w:val="hybridMultilevel"/>
    <w:tmpl w:val="B0CC24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AF03508"/>
    <w:multiLevelType w:val="singleLevel"/>
    <w:tmpl w:val="0B761A06"/>
    <w:lvl w:ilvl="0">
      <w:start w:val="1"/>
      <w:numFmt w:val="lowerLetter"/>
      <w:lvlText w:val="%1."/>
      <w:lvlJc w:val="left"/>
      <w:pPr>
        <w:ind w:left="0" w:firstLine="567"/>
      </w:pPr>
      <w:rPr>
        <w:rFonts w:hint="default"/>
      </w:rPr>
    </w:lvl>
  </w:abstractNum>
  <w:abstractNum w:abstractNumId="19" w15:restartNumberingAfterBreak="0">
    <w:nsid w:val="78C74A6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7C9F21E3"/>
    <w:multiLevelType w:val="hybridMultilevel"/>
    <w:tmpl w:val="7DE8BE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nsid w:val="63FF2A15"/>
    <w:multiLevelType w:val="singleLevel"/>
    <w:lvl w:ilvl="0">
      <w:start w:val="1"/>
      <w:numFmt w:val="decimal"/>
      <w:lvlText w:val="%1."/>
      <w:pPr>
        <w:ind w:left="720" w:hanging="360"/>
      </w:pPr>
    </w:lvl>
  </w:abstractNum>
  <w:abstractNum w:abstractNumId="22">
    <w:nsid w:val="63FF2A16"/>
    <w:multiLevelType w:val="singleLevel"/>
    <w:lvl w:ilvl="0">
      <w:numFmt w:val="bullet"/>
      <w:lvlText w:val="•"/>
      <w:pPr>
        <w:ind w:left="720" w:hanging="360"/>
      </w:pPr>
    </w:lvl>
  </w:abstractNum>
  <w:abstractNum w:abstractNumId="23">
    <w:nsid w:val="63FF2A17"/>
    <w:multiLevelType w:val="singleLevel"/>
    <w:lvl w:ilvl="0">
      <w:numFmt w:val="bullet"/>
      <w:lvlText w:val="▪"/>
      <w:pPr>
        <w:ind w:left="720" w:hanging="360"/>
      </w:pPr>
    </w:lvl>
  </w:abstractNum>
  <w:abstractNum w:abstractNumId="24">
    <w:nsid w:val="63FF2A18"/>
    <w:multiLevelType w:val="singleLevel"/>
    <w:lvl w:ilvl="0">
      <w:numFmt w:val="bullet"/>
      <w:lvlText w:val="o"/>
      <w:pPr>
        <w:ind w:left="720" w:hanging="360"/>
      </w:pPr>
    </w:lvl>
  </w:abstractNum>
  <w:abstractNum w:abstractNumId="25">
    <w:nsid w:val="63FF2A19"/>
    <w:multiLevelType w:val="singleLevel"/>
    <w:lvl w:ilvl="0">
      <w:start w:val="1"/>
      <w:numFmt w:val="upperLetter"/>
      <w:lvlText w:val="%1."/>
      <w:pPr>
        <w:ind w:left="720" w:hanging="360"/>
      </w:pPr>
    </w:lvl>
  </w:abstractNum>
  <w:abstractNum w:abstractNumId="26">
    <w:nsid w:val="63FF2A1A"/>
    <w:multiLevelType w:val="singleLevel"/>
    <w:lvl w:ilvl="0">
      <w:start w:val="1"/>
      <w:numFmt w:val="lowerLetter"/>
      <w:lvlText w:val="%1."/>
      <w:pPr>
        <w:ind w:left="720" w:hanging="360"/>
      </w:pPr>
    </w:lvl>
  </w:abstractNum>
  <w:abstractNum w:abstractNumId="27">
    <w:nsid w:val="63FF2A1B"/>
    <w:multiLevelType w:val="singleLevel"/>
    <w:lvl w:ilvl="0">
      <w:start w:val="1"/>
      <w:numFmt w:val="upperRoman"/>
      <w:lvlText w:val="%1."/>
      <w:pPr>
        <w:ind w:left="720" w:hanging="360"/>
      </w:pPr>
    </w:lvl>
  </w:abstractNum>
  <w:abstractNum w:abstractNumId="28">
    <w:nsid w:val="63FF2A1C"/>
    <w:multiLevelType w:val="singleLevel"/>
    <w:lvl w:ilvl="0">
      <w:start w:val="1"/>
      <w:numFmt w:val="lowerRoman"/>
      <w:lvlText w:val="%1."/>
      <w:pPr>
        <w:ind w:left="720" w:hanging="360"/>
      </w:pPr>
    </w:lvl>
  </w:abstractNum>
  <w:abstractNum w:abstractNumId="29">
    <w:nsid w:val="63FF2A1D"/>
    <w:multiLevelType w:val="singleLevel"/>
    <w:lvl w:ilvl="0">
      <w:start w:val="1"/>
      <w:numFmt w:val="lowerLetter"/>
      <w:lvlText w:val="%1."/>
      <w:pPr>
        <w:ind w:left="720" w:hanging="360"/>
      </w:pPr>
    </w:lvl>
  </w:abstractNum>
  <w:num w:numId="1">
    <w:abstractNumId w:val="15"/>
  </w:num>
  <w:num w:numId="2">
    <w:abstractNumId w:val="7"/>
  </w:num>
  <w:num w:numId="3">
    <w:abstractNumId w:val="16"/>
  </w:num>
  <w:num w:numId="4">
    <w:abstractNumId w:val="14"/>
  </w:num>
  <w:num w:numId="5">
    <w:abstractNumId w:val="17"/>
  </w:num>
  <w:num w:numId="6">
    <w:abstractNumId w:val="3"/>
  </w:num>
  <w:num w:numId="7">
    <w:abstractNumId w:val="2"/>
  </w:num>
  <w:num w:numId="8">
    <w:abstractNumId w:val="1"/>
  </w:num>
  <w:num w:numId="9">
    <w:abstractNumId w:val="0"/>
  </w:num>
  <w:num w:numId="10">
    <w:abstractNumId w:val="4"/>
  </w:num>
  <w:num w:numId="11">
    <w:abstractNumId w:val="1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num>
  <w:num w:numId="14">
    <w:abstractNumId w:val="12"/>
  </w:num>
  <w:num w:numId="15">
    <w:abstractNumId w:val="12"/>
    <w:lvlOverride w:ilvl="0">
      <w:startOverride w:val="1"/>
    </w:lvlOverride>
  </w:num>
  <w:num w:numId="16">
    <w:abstractNumId w:val="12"/>
  </w:num>
  <w:num w:numId="17">
    <w:abstractNumId w:val="8"/>
    <w:lvlOverride w:ilvl="0">
      <w:startOverride w:val="1"/>
    </w:lvlOverride>
  </w:num>
  <w:num w:numId="18">
    <w:abstractNumId w:val="8"/>
  </w:num>
  <w:num w:numId="19">
    <w:abstractNumId w:val="9"/>
  </w:num>
  <w:num w:numId="20">
    <w:abstractNumId w:val="5"/>
  </w:num>
  <w:num w:numId="21">
    <w:abstractNumId w:val="13"/>
  </w:num>
  <w:num w:numId="22">
    <w:abstractNumId w:val="19"/>
  </w:num>
  <w:num w:numId="23">
    <w:abstractNumId w:val="20"/>
  </w:num>
  <w:num w:numId="24">
    <w:abstractNumId w:val="10"/>
  </w:num>
  <w:num w:numId="25">
    <w:abstractNumId w:val="11"/>
  </w:num>
  <w:num w:numId="26">
    <w:abstractNumId w:val="6"/>
  </w:num>
  <w:num w:numId="27">
    <w:abstractNumId w:val="22"/>
    <w:lvlOverride w:ilvl="0">
      <w:startOverride w:val="1"/>
    </w:lvlOverride>
  </w:num>
  <w:num w:numId="28">
    <w:abstractNumId w:val="22"/>
    <w:lvlOverride w:ilvl="0">
      <w:startOverride w:val="1"/>
    </w:lvlOverride>
  </w:num>
  <w:num w:numId="29">
    <w:abstractNumId w:val="22"/>
    <w:lvlOverride w:ilvl="0">
      <w:startOverride w:val="1"/>
    </w:lvlOverride>
  </w:num>
  <w:num w:numId="30">
    <w:abstractNumId w:val="22"/>
    <w:lvlOverride w:ilvl="0">
      <w:startOverride w:val="1"/>
    </w:lvlOverride>
  </w:num>
  <w:num w:numId="31">
    <w:abstractNumId w:val="22"/>
    <w:lvlOverride w:ilvl="0">
      <w:startOverride w:val="1"/>
    </w:lvlOverride>
  </w:num>
  <w:num w:numId="32">
    <w:abstractNumId w:val="22"/>
    <w:lvlOverride w:ilvl="0">
      <w:startOverride w:val="1"/>
    </w:lvlOverride>
  </w:num>
  <w:num w:numId="33">
    <w:abstractNumId w:val="22"/>
    <w:lvlOverride w:ilvl="0">
      <w:startOverride w:val="1"/>
    </w:lvlOverride>
  </w:num>
  <w:num w:numId="34">
    <w:abstractNumId w:val="22"/>
    <w:lvlOverride w:ilvl="0">
      <w:startOverride w:val="1"/>
    </w:lvlOverride>
  </w:num>
  <w:num w:numId="35">
    <w:abstractNumId w:val="22"/>
    <w:lvlOverride w:ilvl="0">
      <w:startOverride w:val="1"/>
    </w:lvlOverride>
  </w:num>
  <w:num w:numId="36">
    <w:abstractNumId w:val="22"/>
    <w:lvlOverride w:ilvl="0">
      <w:startOverride w:val="1"/>
    </w:lvlOverride>
  </w:num>
  <w:num w:numId="37">
    <w:abstractNumId w:val="22"/>
    <w:lvlOverride w:ilvl="0">
      <w:startOverride w:val="1"/>
    </w:lvlOverride>
  </w:num>
  <w:num w:numId="38">
    <w:abstractNumId w:val="22"/>
    <w:lvlOverride w:ilvl="0">
      <w:startOverride w:val="1"/>
    </w:lvlOverride>
  </w:num>
  <w:num w:numId="39">
    <w:abstractNumId w:val="22"/>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802" w:allStyles="0" w:customStyles="1"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1E4"/>
    <w:rsid w:val="00006C7D"/>
    <w:rsid w:val="00020B7A"/>
    <w:rsid w:val="00027637"/>
    <w:rsid w:val="00043CF9"/>
    <w:rsid w:val="00046384"/>
    <w:rsid w:val="000501F9"/>
    <w:rsid w:val="00055566"/>
    <w:rsid w:val="000555B5"/>
    <w:rsid w:val="000812AB"/>
    <w:rsid w:val="00086B10"/>
    <w:rsid w:val="000A443D"/>
    <w:rsid w:val="000A4DD6"/>
    <w:rsid w:val="000C7CA7"/>
    <w:rsid w:val="000D022D"/>
    <w:rsid w:val="000D7665"/>
    <w:rsid w:val="00102C90"/>
    <w:rsid w:val="00110549"/>
    <w:rsid w:val="001107CE"/>
    <w:rsid w:val="0012504C"/>
    <w:rsid w:val="00127C72"/>
    <w:rsid w:val="001470BC"/>
    <w:rsid w:val="00187A35"/>
    <w:rsid w:val="001978ED"/>
    <w:rsid w:val="001A14ED"/>
    <w:rsid w:val="001D4805"/>
    <w:rsid w:val="001E691D"/>
    <w:rsid w:val="002103A9"/>
    <w:rsid w:val="00214746"/>
    <w:rsid w:val="002239BF"/>
    <w:rsid w:val="00225A25"/>
    <w:rsid w:val="0024361E"/>
    <w:rsid w:val="0027063C"/>
    <w:rsid w:val="002802B6"/>
    <w:rsid w:val="002933B6"/>
    <w:rsid w:val="00295E01"/>
    <w:rsid w:val="002A6BA0"/>
    <w:rsid w:val="002D04D1"/>
    <w:rsid w:val="002D55E7"/>
    <w:rsid w:val="00316B2D"/>
    <w:rsid w:val="003321E8"/>
    <w:rsid w:val="00333297"/>
    <w:rsid w:val="003443D8"/>
    <w:rsid w:val="00356BEE"/>
    <w:rsid w:val="00362E9F"/>
    <w:rsid w:val="00363FA8"/>
    <w:rsid w:val="003900DE"/>
    <w:rsid w:val="00392EC3"/>
    <w:rsid w:val="00393252"/>
    <w:rsid w:val="00396F8D"/>
    <w:rsid w:val="003A19A1"/>
    <w:rsid w:val="003C63B6"/>
    <w:rsid w:val="003E1C90"/>
    <w:rsid w:val="004234FB"/>
    <w:rsid w:val="00426298"/>
    <w:rsid w:val="004273C1"/>
    <w:rsid w:val="00443963"/>
    <w:rsid w:val="00494D0A"/>
    <w:rsid w:val="004A3A0C"/>
    <w:rsid w:val="004C763C"/>
    <w:rsid w:val="004D6D5A"/>
    <w:rsid w:val="004E35BB"/>
    <w:rsid w:val="004F00FF"/>
    <w:rsid w:val="00516232"/>
    <w:rsid w:val="0052288C"/>
    <w:rsid w:val="00530087"/>
    <w:rsid w:val="005546B1"/>
    <w:rsid w:val="00574973"/>
    <w:rsid w:val="00575F8E"/>
    <w:rsid w:val="00581DCE"/>
    <w:rsid w:val="005846CC"/>
    <w:rsid w:val="005908F6"/>
    <w:rsid w:val="005912BF"/>
    <w:rsid w:val="005A3ABE"/>
    <w:rsid w:val="005C2132"/>
    <w:rsid w:val="005D0235"/>
    <w:rsid w:val="005D24B7"/>
    <w:rsid w:val="005D6263"/>
    <w:rsid w:val="005D7727"/>
    <w:rsid w:val="005F3F69"/>
    <w:rsid w:val="005F5A2F"/>
    <w:rsid w:val="00643B96"/>
    <w:rsid w:val="006449B6"/>
    <w:rsid w:val="00647AC5"/>
    <w:rsid w:val="0065678B"/>
    <w:rsid w:val="0066362E"/>
    <w:rsid w:val="006744F6"/>
    <w:rsid w:val="0068740B"/>
    <w:rsid w:val="00693DCC"/>
    <w:rsid w:val="006957E2"/>
    <w:rsid w:val="00697BBD"/>
    <w:rsid w:val="006B1F0B"/>
    <w:rsid w:val="006C56E9"/>
    <w:rsid w:val="006D473C"/>
    <w:rsid w:val="006D7816"/>
    <w:rsid w:val="006E190E"/>
    <w:rsid w:val="006F375C"/>
    <w:rsid w:val="007133D6"/>
    <w:rsid w:val="007140D1"/>
    <w:rsid w:val="00715FA1"/>
    <w:rsid w:val="00737C86"/>
    <w:rsid w:val="00752B3C"/>
    <w:rsid w:val="00754552"/>
    <w:rsid w:val="00775C2D"/>
    <w:rsid w:val="00785D04"/>
    <w:rsid w:val="0079330F"/>
    <w:rsid w:val="00795307"/>
    <w:rsid w:val="007B134C"/>
    <w:rsid w:val="007B32FC"/>
    <w:rsid w:val="007B5BC7"/>
    <w:rsid w:val="007C5889"/>
    <w:rsid w:val="007E71E3"/>
    <w:rsid w:val="007F69B4"/>
    <w:rsid w:val="007F7743"/>
    <w:rsid w:val="008032E6"/>
    <w:rsid w:val="00803C68"/>
    <w:rsid w:val="0080735B"/>
    <w:rsid w:val="00833827"/>
    <w:rsid w:val="00836E3E"/>
    <w:rsid w:val="00836F97"/>
    <w:rsid w:val="00837FF3"/>
    <w:rsid w:val="0084091D"/>
    <w:rsid w:val="00863DBD"/>
    <w:rsid w:val="0087717E"/>
    <w:rsid w:val="00890BEE"/>
    <w:rsid w:val="008A222B"/>
    <w:rsid w:val="008B0173"/>
    <w:rsid w:val="008B65D8"/>
    <w:rsid w:val="008C6810"/>
    <w:rsid w:val="008E628B"/>
    <w:rsid w:val="008F0068"/>
    <w:rsid w:val="009159A2"/>
    <w:rsid w:val="00936812"/>
    <w:rsid w:val="009407C9"/>
    <w:rsid w:val="00946DA5"/>
    <w:rsid w:val="00954B58"/>
    <w:rsid w:val="00961F78"/>
    <w:rsid w:val="009808C6"/>
    <w:rsid w:val="009A6B7A"/>
    <w:rsid w:val="009B2D3E"/>
    <w:rsid w:val="009B47B0"/>
    <w:rsid w:val="009C654C"/>
    <w:rsid w:val="009C7455"/>
    <w:rsid w:val="009D3220"/>
    <w:rsid w:val="009E31F1"/>
    <w:rsid w:val="00A0573A"/>
    <w:rsid w:val="00A12981"/>
    <w:rsid w:val="00A25C11"/>
    <w:rsid w:val="00A26909"/>
    <w:rsid w:val="00A57566"/>
    <w:rsid w:val="00A602B1"/>
    <w:rsid w:val="00A74A68"/>
    <w:rsid w:val="00A81544"/>
    <w:rsid w:val="00A95202"/>
    <w:rsid w:val="00A96C5F"/>
    <w:rsid w:val="00AA7FE7"/>
    <w:rsid w:val="00AB5A88"/>
    <w:rsid w:val="00AD7F89"/>
    <w:rsid w:val="00AE2EB5"/>
    <w:rsid w:val="00B127D9"/>
    <w:rsid w:val="00B165FF"/>
    <w:rsid w:val="00B2656F"/>
    <w:rsid w:val="00B35590"/>
    <w:rsid w:val="00B42470"/>
    <w:rsid w:val="00B54522"/>
    <w:rsid w:val="00B571F0"/>
    <w:rsid w:val="00B609DC"/>
    <w:rsid w:val="00B62E87"/>
    <w:rsid w:val="00B80EA2"/>
    <w:rsid w:val="00B85454"/>
    <w:rsid w:val="00B931E4"/>
    <w:rsid w:val="00BA1053"/>
    <w:rsid w:val="00BA5F40"/>
    <w:rsid w:val="00BE0BE3"/>
    <w:rsid w:val="00C47723"/>
    <w:rsid w:val="00C52077"/>
    <w:rsid w:val="00C76D3D"/>
    <w:rsid w:val="00C965EE"/>
    <w:rsid w:val="00C97965"/>
    <w:rsid w:val="00CA7C65"/>
    <w:rsid w:val="00CB5F76"/>
    <w:rsid w:val="00CC05AE"/>
    <w:rsid w:val="00CC5DF9"/>
    <w:rsid w:val="00CC7A6E"/>
    <w:rsid w:val="00D0101F"/>
    <w:rsid w:val="00D0441B"/>
    <w:rsid w:val="00D22374"/>
    <w:rsid w:val="00D360A8"/>
    <w:rsid w:val="00D77FFC"/>
    <w:rsid w:val="00D85DEA"/>
    <w:rsid w:val="00D9013F"/>
    <w:rsid w:val="00DA2E56"/>
    <w:rsid w:val="00DB0AF4"/>
    <w:rsid w:val="00DB347C"/>
    <w:rsid w:val="00DB5419"/>
    <w:rsid w:val="00DC15C9"/>
    <w:rsid w:val="00DC7060"/>
    <w:rsid w:val="00DD480E"/>
    <w:rsid w:val="00DD741E"/>
    <w:rsid w:val="00E04D74"/>
    <w:rsid w:val="00E23DAF"/>
    <w:rsid w:val="00E27FCA"/>
    <w:rsid w:val="00E303E1"/>
    <w:rsid w:val="00E368D0"/>
    <w:rsid w:val="00E37AF8"/>
    <w:rsid w:val="00E43098"/>
    <w:rsid w:val="00E55119"/>
    <w:rsid w:val="00E82792"/>
    <w:rsid w:val="00EA0C6A"/>
    <w:rsid w:val="00EB61D2"/>
    <w:rsid w:val="00EC5D3F"/>
    <w:rsid w:val="00EF089F"/>
    <w:rsid w:val="00EF77DE"/>
    <w:rsid w:val="00F00623"/>
    <w:rsid w:val="00F41D9C"/>
    <w:rsid w:val="00F90864"/>
    <w:rsid w:val="00FA04B4"/>
    <w:rsid w:val="00FA0F37"/>
    <w:rsid w:val="00FB243C"/>
    <w:rsid w:val="00FD3248"/>
    <w:rsid w:val="00FE14F3"/>
    <w:rsid w:val="00FE72CC"/>
    <w:rsid w:val="00FF586F"/>
    <w:rsid w:val="00FF591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5A3F5"/>
  <w15:docId w15:val="{E787B704-679E-4B5E-804E-9EE4A98B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D6D5A"/>
    <w:pPr>
      <w:keepLines/>
      <w:spacing w:after="120" w:line="216" w:lineRule="auto"/>
    </w:pPr>
    <w:rPr>
      <w:rFonts w:ascii="Arial" w:hAnsi="Arial"/>
      <w:spacing w:val="-6"/>
      <w:sz w:val="16"/>
      <w:lang w:eastAsia="en-US"/>
    </w:rPr>
  </w:style>
  <w:style w:type="paragraph" w:styleId="Heading1">
    <w:name w:val="heading 1"/>
    <w:basedOn w:val="Normal"/>
    <w:next w:val="Normal"/>
    <w:link w:val="Heading1Char"/>
    <w:qFormat/>
    <w:rsid w:val="00392EC3"/>
    <w:pPr>
      <w:keepNext/>
      <w:numPr>
        <w:numId w:val="2"/>
      </w:numPr>
      <w:spacing w:before="240" w:after="60"/>
      <w:outlineLvl w:val="0"/>
    </w:pPr>
    <w:rPr>
      <w:rFonts w:ascii="Arial Bold" w:hAnsi="Arial Bold"/>
      <w:b/>
      <w:spacing w:val="0"/>
      <w:sz w:val="24"/>
    </w:rPr>
  </w:style>
  <w:style w:type="paragraph" w:styleId="Heading2">
    <w:name w:val="heading 2"/>
    <w:basedOn w:val="Normal"/>
    <w:next w:val="Normal"/>
    <w:link w:val="Heading2Char"/>
    <w:qFormat/>
    <w:rsid w:val="00392EC3"/>
    <w:pPr>
      <w:keepNext/>
      <w:spacing w:before="120" w:after="60"/>
      <w:outlineLvl w:val="1"/>
    </w:pPr>
    <w:rPr>
      <w:rFonts w:ascii="Arial Bold" w:hAnsi="Arial Bold"/>
      <w:b/>
      <w:spacing w:val="0"/>
      <w:sz w:val="20"/>
    </w:rPr>
  </w:style>
  <w:style w:type="paragraph" w:styleId="Heading3">
    <w:name w:val="heading 3"/>
    <w:basedOn w:val="Normal"/>
    <w:next w:val="Normal"/>
    <w:qFormat/>
    <w:rsid w:val="00CA7C65"/>
    <w:pPr>
      <w:keepNext/>
      <w:spacing w:before="120" w:after="20"/>
      <w:outlineLvl w:val="2"/>
    </w:pPr>
    <w:rPr>
      <w:rFonts w:cs="Arial"/>
      <w:b/>
      <w:bCs/>
      <w:sz w:val="18"/>
      <w:szCs w:val="26"/>
    </w:rPr>
  </w:style>
  <w:style w:type="paragraph" w:styleId="Heading4">
    <w:name w:val="heading 4"/>
    <w:basedOn w:val="Normal"/>
    <w:next w:val="Normal"/>
    <w:unhideWhenUsed/>
    <w:qFormat/>
    <w:rsid w:val="00CA7C65"/>
    <w:pPr>
      <w:keepNext/>
      <w:spacing w:before="200"/>
      <w:outlineLvl w:val="3"/>
    </w:pPr>
    <w:rPr>
      <w:sz w:val="18"/>
    </w:rPr>
  </w:style>
  <w:style w:type="paragraph" w:styleId="Heading5">
    <w:name w:val="heading 5"/>
    <w:basedOn w:val="Normal"/>
    <w:next w:val="Normal"/>
    <w:unhideWhenUsed/>
    <w:qFormat/>
    <w:rsid w:val="00CA7C65"/>
    <w:pPr>
      <w:keepNext/>
      <w:spacing w:before="200"/>
      <w:outlineLvl w:val="4"/>
    </w:pPr>
    <w:rPr>
      <w:sz w:val="18"/>
    </w:rPr>
  </w:style>
  <w:style w:type="paragraph" w:styleId="Heading6">
    <w:name w:val="heading 6"/>
    <w:basedOn w:val="Normal"/>
    <w:next w:val="Normal"/>
    <w:unhideWhenUsed/>
    <w:qFormat/>
    <w:rsid w:val="00CA7C65"/>
    <w:pPr>
      <w:keepNext/>
      <w:spacing w:before="200"/>
      <w:outlineLvl w:val="5"/>
    </w:pPr>
    <w:rPr>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 w:customStyle="1">
    <w:name w:val="Bullet"/>
    <w:basedOn w:val="Normal"/>
    <w:rsid w:val="00110549"/>
    <w:pPr>
      <w:numPr>
        <w:numId w:val="1"/>
      </w:numPr>
    </w:pPr>
    <w:rPr>
      <w:bCs/>
    </w:rPr>
  </w:style>
  <w:style w:type="paragraph" w:styleId="Bulletindent" w:customStyle="1">
    <w:name w:val="Bullet indent"/>
    <w:basedOn w:val="Bullet"/>
    <w:rsid w:val="00110549"/>
    <w:pPr>
      <w:numPr>
        <w:numId w:val="3"/>
      </w:numPr>
    </w:pPr>
  </w:style>
  <w:style w:type="paragraph" w:styleId="NormalAlphabet" w:customStyle="1">
    <w:name w:val="Normal Alphabet"/>
    <w:basedOn w:val="Normal"/>
    <w:rsid w:val="00110549"/>
    <w:pPr>
      <w:numPr>
        <w:ilvl w:val="2"/>
        <w:numId w:val="2"/>
      </w:numPr>
    </w:pPr>
  </w:style>
  <w:style w:type="paragraph" w:styleId="NormalNumbered" w:customStyle="1">
    <w:name w:val="Normal Numbered"/>
    <w:basedOn w:val="Normal"/>
    <w:rsid w:val="00110549"/>
    <w:pPr>
      <w:numPr>
        <w:ilvl w:val="1"/>
        <w:numId w:val="2"/>
      </w:numPr>
    </w:pPr>
  </w:style>
  <w:style w:type="paragraph" w:styleId="SchRef" w:customStyle="1">
    <w:name w:val="Sch Ref"/>
    <w:basedOn w:val="Normal"/>
    <w:next w:val="Normal"/>
    <w:rsid w:val="00110549"/>
    <w:pPr>
      <w:jc w:val="center"/>
    </w:pPr>
  </w:style>
  <w:style w:type="paragraph" w:styleId="WPref" w:customStyle="1">
    <w:name w:val="WP ref"/>
    <w:basedOn w:val="Normal"/>
    <w:next w:val="Normal"/>
    <w:rsid w:val="00110549"/>
    <w:pPr>
      <w:spacing w:before="120"/>
      <w:jc w:val="center"/>
    </w:pPr>
    <w:rPr>
      <w:rFonts w:ascii="Arial Bold" w:hAnsi="Arial Bold"/>
      <w:b/>
      <w:bCs/>
    </w:rPr>
  </w:style>
  <w:style w:type="paragraph" w:styleId="Checklist" w:customStyle="1">
    <w:name w:val="Checklist"/>
    <w:basedOn w:val="Normal"/>
    <w:link w:val="ChecklistChar"/>
    <w:rsid w:val="002D55E7"/>
    <w:rPr>
      <w:sz w:val="14"/>
    </w:rPr>
  </w:style>
  <w:style w:type="paragraph" w:styleId="ChecklistNumbered" w:customStyle="1">
    <w:name w:val="Checklist  Numbered"/>
    <w:basedOn w:val="Checklist"/>
    <w:link w:val="ChecklistNumberedChar"/>
    <w:rsid w:val="002D55E7"/>
    <w:pPr>
      <w:numPr>
        <w:numId w:val="4"/>
      </w:numPr>
    </w:pPr>
  </w:style>
  <w:style w:type="paragraph" w:styleId="Header">
    <w:name w:val="header"/>
    <w:basedOn w:val="Normal"/>
    <w:rsid w:val="00110549"/>
    <w:pPr>
      <w:tabs>
        <w:tab w:val="center" w:pos="4153"/>
        <w:tab w:val="right" w:pos="8306"/>
      </w:tabs>
    </w:pPr>
  </w:style>
  <w:style w:type="paragraph" w:styleId="Footer">
    <w:name w:val="footer"/>
    <w:basedOn w:val="Normal"/>
    <w:link w:val="FooterChar"/>
    <w:rsid w:val="00110549"/>
    <w:pPr>
      <w:tabs>
        <w:tab w:val="center" w:pos="4153"/>
        <w:tab w:val="right" w:pos="8306"/>
      </w:tabs>
    </w:pPr>
  </w:style>
  <w:style w:type="paragraph" w:styleId="BodyText">
    <w:name w:val="Body Text"/>
    <w:basedOn w:val="Normal"/>
    <w:link w:val="BodyTextChar"/>
    <w:rsid w:val="000501F9"/>
  </w:style>
  <w:style w:type="character" w:styleId="BodyTextChar" w:customStyle="1">
    <w:name w:val="Body Text Char"/>
    <w:link w:val="BodyText"/>
    <w:rsid w:val="000501F9"/>
    <w:rPr>
      <w:rFonts w:ascii="Arial" w:hAnsi="Arial"/>
      <w:spacing w:val="-2"/>
      <w:sz w:val="19"/>
      <w:lang w:eastAsia="en-US"/>
    </w:rPr>
  </w:style>
  <w:style w:type="paragraph" w:styleId="DocumentMap">
    <w:name w:val="Document Map"/>
    <w:basedOn w:val="Normal"/>
    <w:link w:val="DocumentMapChar"/>
    <w:rsid w:val="00B931E4"/>
    <w:pPr>
      <w:shd w:val="clear" w:color="auto" w:fill="000080"/>
    </w:pPr>
    <w:rPr>
      <w:rFonts w:ascii="Tahoma" w:hAnsi="Tahoma"/>
    </w:rPr>
  </w:style>
  <w:style w:type="character" w:styleId="DocumentMapChar" w:customStyle="1">
    <w:name w:val="Document Map Char"/>
    <w:link w:val="DocumentMap"/>
    <w:rsid w:val="00B931E4"/>
    <w:rPr>
      <w:rFonts w:ascii="Tahoma" w:hAnsi="Tahoma"/>
      <w:sz w:val="18"/>
      <w:shd w:val="clear" w:color="auto" w:fill="000080"/>
      <w:lang w:eastAsia="en-US"/>
    </w:rPr>
  </w:style>
  <w:style w:type="paragraph" w:styleId="indent" w:customStyle="1">
    <w:name w:val="indent"/>
    <w:basedOn w:val="Normal"/>
    <w:rsid w:val="00B931E4"/>
    <w:pPr>
      <w:tabs>
        <w:tab w:val="left" w:pos="357"/>
      </w:tabs>
      <w:ind w:left="357" w:hanging="357"/>
    </w:pPr>
  </w:style>
  <w:style w:type="character" w:styleId="indentChar" w:customStyle="1">
    <w:name w:val="indent Char"/>
    <w:rsid w:val="00B931E4"/>
    <w:rPr>
      <w:rFonts w:ascii="Arial" w:hAnsi="Arial"/>
      <w:sz w:val="18"/>
      <w:lang w:val="en-GB" w:eastAsia="en-US" w:bidi="ar-SA"/>
    </w:rPr>
  </w:style>
  <w:style w:type="paragraph" w:styleId="BalloonText">
    <w:name w:val="Balloon Text"/>
    <w:basedOn w:val="Normal"/>
    <w:link w:val="BalloonTextChar"/>
    <w:rsid w:val="00B931E4"/>
    <w:rPr>
      <w:rFonts w:ascii="Tahoma" w:hAnsi="Tahoma" w:cs="Tahoma"/>
      <w:szCs w:val="16"/>
    </w:rPr>
  </w:style>
  <w:style w:type="character" w:styleId="BalloonTextChar" w:customStyle="1">
    <w:name w:val="Balloon Text Char"/>
    <w:link w:val="BalloonText"/>
    <w:rsid w:val="00B931E4"/>
    <w:rPr>
      <w:rFonts w:ascii="Tahoma" w:hAnsi="Tahoma" w:cs="Tahoma"/>
      <w:sz w:val="16"/>
      <w:szCs w:val="16"/>
      <w:lang w:eastAsia="en-US"/>
    </w:rPr>
  </w:style>
  <w:style w:type="table" w:styleId="TableGrid">
    <w:name w:val="Table Grid"/>
    <w:basedOn w:val="TableNormal"/>
    <w:rsid w:val="007B32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hecklistChar" w:customStyle="1">
    <w:name w:val="Checklist Char"/>
    <w:link w:val="Checklist"/>
    <w:rsid w:val="00B931E4"/>
    <w:rPr>
      <w:rFonts w:ascii="Arial" w:hAnsi="Arial"/>
      <w:sz w:val="14"/>
      <w:lang w:eastAsia="en-US"/>
    </w:rPr>
  </w:style>
  <w:style w:type="character" w:styleId="indentCharChar" w:customStyle="1">
    <w:name w:val="indent Char Char"/>
    <w:rsid w:val="00B931E4"/>
    <w:rPr>
      <w:rFonts w:ascii="Arial" w:hAnsi="Arial"/>
      <w:sz w:val="18"/>
      <w:lang w:val="en-GB" w:eastAsia="en-US" w:bidi="ar-SA"/>
    </w:rPr>
  </w:style>
  <w:style w:type="character" w:styleId="PageNumber">
    <w:name w:val="page number"/>
    <w:rsid w:val="00B931E4"/>
  </w:style>
  <w:style w:type="character" w:styleId="ChecklistNumberedChar" w:customStyle="1">
    <w:name w:val="Checklist  Numbered Char"/>
    <w:link w:val="ChecklistNumbered"/>
    <w:rsid w:val="00B931E4"/>
    <w:rPr>
      <w:rFonts w:ascii="Arial" w:hAnsi="Arial"/>
      <w:sz w:val="14"/>
      <w:lang w:eastAsia="en-US"/>
    </w:rPr>
  </w:style>
  <w:style w:type="character" w:styleId="CommentReference">
    <w:name w:val="annotation reference"/>
    <w:uiPriority w:val="99"/>
    <w:rsid w:val="00B931E4"/>
    <w:rPr>
      <w:sz w:val="16"/>
      <w:szCs w:val="16"/>
    </w:rPr>
  </w:style>
  <w:style w:type="paragraph" w:styleId="CommentText">
    <w:name w:val="annotation text"/>
    <w:basedOn w:val="Normal"/>
    <w:link w:val="CommentTextChar"/>
    <w:uiPriority w:val="99"/>
    <w:rsid w:val="00B931E4"/>
    <w:rPr>
      <w:sz w:val="20"/>
    </w:rPr>
  </w:style>
  <w:style w:type="character" w:styleId="CommentTextChar" w:customStyle="1">
    <w:name w:val="Comment Text Char"/>
    <w:link w:val="CommentText"/>
    <w:uiPriority w:val="99"/>
    <w:rsid w:val="00B931E4"/>
    <w:rPr>
      <w:rFonts w:ascii="Arial" w:hAnsi="Arial"/>
      <w:lang w:eastAsia="en-US"/>
    </w:rPr>
  </w:style>
  <w:style w:type="paragraph" w:styleId="CommentSubject">
    <w:name w:val="annotation subject"/>
    <w:basedOn w:val="CommentText"/>
    <w:next w:val="CommentText"/>
    <w:link w:val="CommentSubjectChar"/>
    <w:rsid w:val="00B931E4"/>
    <w:rPr>
      <w:b/>
      <w:bCs/>
    </w:rPr>
  </w:style>
  <w:style w:type="character" w:styleId="CommentSubjectChar" w:customStyle="1">
    <w:name w:val="Comment Subject Char"/>
    <w:link w:val="CommentSubject"/>
    <w:rsid w:val="00B931E4"/>
    <w:rPr>
      <w:rFonts w:ascii="Arial" w:hAnsi="Arial"/>
      <w:b/>
      <w:bCs/>
      <w:lang w:eastAsia="en-US"/>
    </w:rPr>
  </w:style>
  <w:style w:type="character" w:styleId="FooterChar" w:customStyle="1">
    <w:name w:val="Footer Char"/>
    <w:link w:val="Footer"/>
    <w:rsid w:val="001470BC"/>
    <w:rPr>
      <w:rFonts w:ascii="Arial" w:hAnsi="Arial"/>
      <w:sz w:val="18"/>
      <w:lang w:eastAsia="en-US"/>
    </w:rPr>
  </w:style>
  <w:style w:type="character" w:styleId="Heading2Char" w:customStyle="1">
    <w:name w:val="Heading 2 Char"/>
    <w:link w:val="Heading2"/>
    <w:rsid w:val="00392EC3"/>
    <w:rPr>
      <w:rFonts w:ascii="Arial Bold" w:hAnsi="Arial Bold"/>
      <w:b/>
      <w:lang w:eastAsia="en-US"/>
    </w:rPr>
  </w:style>
  <w:style w:type="paragraph" w:styleId="FootnoteText">
    <w:name w:val="footnote text"/>
    <w:basedOn w:val="Normal"/>
    <w:link w:val="FootnoteTextChar"/>
    <w:rsid w:val="00363FA8"/>
    <w:rPr>
      <w:sz w:val="20"/>
    </w:rPr>
  </w:style>
  <w:style w:type="character" w:styleId="FootnoteTextChar" w:customStyle="1">
    <w:name w:val="Footnote Text Char"/>
    <w:link w:val="FootnoteText"/>
    <w:rsid w:val="00363FA8"/>
    <w:rPr>
      <w:rFonts w:ascii="Arial" w:hAnsi="Arial"/>
      <w:lang w:eastAsia="en-US"/>
    </w:rPr>
  </w:style>
  <w:style w:type="character" w:styleId="FootnoteReference">
    <w:name w:val="footnote reference"/>
    <w:rsid w:val="00363FA8"/>
    <w:rPr>
      <w:vertAlign w:val="superscript"/>
    </w:rPr>
  </w:style>
  <w:style w:type="paragraph" w:styleId="Revision">
    <w:name w:val="Revision"/>
    <w:hidden/>
    <w:uiPriority w:val="99"/>
    <w:semiHidden/>
    <w:rsid w:val="00363FA8"/>
    <w:rPr>
      <w:rFonts w:ascii="Arial" w:hAnsi="Arial"/>
      <w:sz w:val="14"/>
      <w:lang w:eastAsia="en-US"/>
    </w:rPr>
  </w:style>
  <w:style w:type="character" w:styleId="Hyperlink">
    <w:name w:val="Hyperlink"/>
    <w:uiPriority w:val="99"/>
    <w:unhideWhenUsed/>
    <w:rsid w:val="00363FA8"/>
    <w:rPr>
      <w:color w:val="0000FF"/>
      <w:u w:val="single"/>
    </w:rPr>
  </w:style>
  <w:style w:type="paragraph" w:styleId="indent20" w:customStyle="1">
    <w:name w:val="indent20"/>
    <w:basedOn w:val="Normal"/>
    <w:rsid w:val="00363FA8"/>
    <w:pPr>
      <w:spacing w:before="100" w:beforeAutospacing="1" w:after="100" w:afterAutospacing="1"/>
    </w:pPr>
    <w:rPr>
      <w:rFonts w:ascii="Times New Roman" w:hAnsi="Times New Roman"/>
      <w:sz w:val="24"/>
      <w:szCs w:val="24"/>
      <w:lang w:eastAsia="en-GB"/>
    </w:rPr>
  </w:style>
  <w:style w:type="paragraph" w:styleId="indent10" w:customStyle="1">
    <w:name w:val="indent10"/>
    <w:basedOn w:val="Normal"/>
    <w:rsid w:val="00363FA8"/>
    <w:pPr>
      <w:spacing w:before="100" w:beforeAutospacing="1" w:after="100" w:afterAutospacing="1"/>
    </w:pPr>
    <w:rPr>
      <w:rFonts w:ascii="Times New Roman" w:hAnsi="Times New Roman"/>
      <w:sz w:val="24"/>
      <w:szCs w:val="24"/>
      <w:lang w:eastAsia="en-GB"/>
    </w:rPr>
  </w:style>
  <w:style w:type="character" w:styleId="Strong">
    <w:name w:val="Strong"/>
    <w:uiPriority w:val="22"/>
    <w:qFormat/>
    <w:rsid w:val="00363FA8"/>
    <w:rPr>
      <w:b/>
      <w:bCs/>
    </w:rPr>
  </w:style>
  <w:style w:type="paragraph" w:styleId="indent30" w:customStyle="1">
    <w:name w:val="indent30"/>
    <w:basedOn w:val="Normal"/>
    <w:rsid w:val="00363FA8"/>
    <w:pPr>
      <w:spacing w:before="100" w:beforeAutospacing="1" w:after="100" w:afterAutospacing="1"/>
    </w:pPr>
    <w:rPr>
      <w:rFonts w:ascii="Times New Roman" w:hAnsi="Times New Roman"/>
      <w:sz w:val="24"/>
      <w:szCs w:val="24"/>
      <w:lang w:eastAsia="en-GB"/>
    </w:rPr>
  </w:style>
  <w:style w:type="paragraph" w:styleId="Subtitle">
    <w:name w:val="Subtitle"/>
    <w:basedOn w:val="Normal"/>
    <w:next w:val="Normal"/>
    <w:link w:val="SubtitleChar"/>
    <w:qFormat/>
    <w:rsid w:val="00AA7FE7"/>
    <w:pPr>
      <w:keepNext/>
      <w:spacing w:before="240" w:after="60"/>
      <w:outlineLvl w:val="1"/>
    </w:pPr>
    <w:rPr>
      <w:spacing w:val="-12"/>
      <w:sz w:val="28"/>
      <w:szCs w:val="24"/>
    </w:rPr>
  </w:style>
  <w:style w:type="character" w:styleId="SubtitleChar" w:customStyle="1">
    <w:name w:val="Subtitle Char"/>
    <w:link w:val="Subtitle"/>
    <w:rsid w:val="00AA7FE7"/>
    <w:rPr>
      <w:rFonts w:ascii="Arial" w:hAnsi="Arial"/>
      <w:spacing w:val="-12"/>
      <w:sz w:val="28"/>
      <w:szCs w:val="24"/>
      <w:lang w:eastAsia="en-US"/>
    </w:rPr>
  </w:style>
  <w:style w:type="paragraph" w:styleId="Title">
    <w:name w:val="Title"/>
    <w:basedOn w:val="Normal"/>
    <w:next w:val="Normal"/>
    <w:link w:val="TitleChar"/>
    <w:qFormat/>
    <w:rsid w:val="00392EC3"/>
    <w:pPr>
      <w:keepNext/>
      <w:tabs>
        <w:tab w:val="left" w:pos="7371"/>
      </w:tabs>
      <w:spacing w:before="240" w:after="60"/>
      <w:outlineLvl w:val="0"/>
    </w:pPr>
    <w:rPr>
      <w:rFonts w:ascii="Arial Bold" w:hAnsi="Arial Bold" w:eastAsia="Arial Unicode MS"/>
      <w:b/>
      <w:bCs/>
      <w:spacing w:val="-10"/>
      <w:kern w:val="28"/>
      <w:sz w:val="40"/>
      <w:szCs w:val="32"/>
    </w:rPr>
  </w:style>
  <w:style w:type="character" w:styleId="TitleChar" w:customStyle="1">
    <w:name w:val="Title Char"/>
    <w:link w:val="Title"/>
    <w:rsid w:val="00392EC3"/>
    <w:rPr>
      <w:rFonts w:ascii="Arial Bold" w:hAnsi="Arial Bold" w:eastAsia="Arial Unicode MS"/>
      <w:b/>
      <w:bCs/>
      <w:spacing w:val="-10"/>
      <w:kern w:val="28"/>
      <w:sz w:val="40"/>
      <w:szCs w:val="32"/>
      <w:lang w:eastAsia="en-US"/>
    </w:rPr>
  </w:style>
  <w:style w:type="table" w:styleId="TableGrid5">
    <w:name w:val="Table Grid 5"/>
    <w:basedOn w:val="TableNormal"/>
    <w:rsid w:val="009E31F1"/>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3">
    <w:name w:val="Table Grid 3"/>
    <w:basedOn w:val="TableNormal"/>
    <w:rsid w:val="009E31F1"/>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9E31F1"/>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 w:customStyle="1">
    <w:name w:val="table"/>
    <w:basedOn w:val="TableNormal"/>
    <w:uiPriority w:val="99"/>
    <w:rsid w:val="002239BF"/>
    <w:rPr>
      <w:rFonts w:ascii="Arial" w:hAnsi="Arial"/>
      <w:sz w:val="16"/>
    </w:rPr>
    <w:tblPr>
      <w:tblStyleRowBandSize w:val="1"/>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blStylePr w:type="firstRow">
      <w:pPr>
        <w:wordWrap/>
        <w:spacing w:before="0" w:beforeLines="0" w:beforeAutospacing="0" w:after="0" w:afterLines="0" w:afterAutospacing="0" w:line="240" w:lineRule="auto"/>
      </w:pPr>
      <w:rPr>
        <w:rFonts w:ascii="Arial" w:hAnsi="Arial"/>
        <w:b w:val="0"/>
      </w:rPr>
      <w:tblPr/>
      <w:tcP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band1Horz">
      <w:pPr>
        <w:wordWrap/>
      </w:pPr>
    </w:tblStylePr>
  </w:style>
  <w:style w:type="paragraph" w:styleId="Left" w:customStyle="1">
    <w:name w:val="Left"/>
    <w:basedOn w:val="Normal"/>
    <w:qFormat/>
    <w:rsid w:val="009E31F1"/>
  </w:style>
  <w:style w:type="table" w:styleId="ColorfulGrid-Accent6">
    <w:name w:val="Colorful Grid Accent 6"/>
    <w:basedOn w:val="TableNormal"/>
    <w:uiPriority w:val="73"/>
    <w:rsid w:val="009E31F1"/>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ight" w:customStyle="1">
    <w:name w:val="Right"/>
    <w:basedOn w:val="Normal"/>
    <w:qFormat/>
    <w:rsid w:val="009E31F1"/>
    <w:pPr>
      <w:jc w:val="right"/>
    </w:pPr>
  </w:style>
  <w:style w:type="paragraph" w:styleId="Full" w:customStyle="1">
    <w:name w:val="Full"/>
    <w:basedOn w:val="Right"/>
    <w:qFormat/>
    <w:rsid w:val="00426298"/>
    <w:pPr>
      <w:jc w:val="center"/>
    </w:pPr>
  </w:style>
  <w:style w:type="character" w:styleId="Bold" w:customStyle="1">
    <w:name w:val="Bold"/>
    <w:basedOn w:val="DefaultParagraphFont"/>
    <w:uiPriority w:val="1"/>
    <w:rsid w:val="00BA5F40"/>
    <w:rPr>
      <w:b/>
    </w:rPr>
  </w:style>
  <w:style w:type="character" w:styleId="Underline" w:customStyle="1">
    <w:name w:val="Underline"/>
    <w:basedOn w:val="DefaultParagraphFont"/>
    <w:uiPriority w:val="1"/>
    <w:qFormat/>
    <w:rsid w:val="009E31F1"/>
  </w:style>
  <w:style w:type="paragraph" w:styleId="HighlightBox" w:customStyle="1">
    <w:name w:val="HighlightBox"/>
    <w:basedOn w:val="Normal"/>
    <w:qFormat/>
    <w:rsid w:val="00426298"/>
    <w:pPr>
      <w:framePr w:wrap="notBeside" w:hAnchor="text" w:vAnchor="text" w:xAlign="center" w:y="1"/>
      <w:pBdr>
        <w:top w:val="single" w:color="auto" w:sz="4" w:space="1"/>
        <w:left w:val="single" w:color="auto" w:sz="4" w:space="4"/>
        <w:bottom w:val="single" w:color="auto" w:sz="4" w:space="1"/>
        <w:right w:val="single" w:color="auto" w:sz="4" w:space="4"/>
      </w:pBdr>
      <w:shd w:val="clear" w:color="auto" w:fill="F2F2F2" w:themeFill="background1" w:themeFillShade="F2"/>
    </w:pPr>
    <w:rPr>
      <w:b/>
    </w:rPr>
  </w:style>
  <w:style w:type="table" w:styleId="Merciagrid" w:customStyle="1">
    <w:name w:val="Merciagrid"/>
    <w:basedOn w:val="table"/>
    <w:uiPriority w:val="99"/>
    <w:rsid w:val="007140D1"/>
    <w:pPr>
      <w:outlineLvl w:val="2"/>
    </w:pPr>
    <w:tblPr>
      <w:tblCellMar>
        <w:top w:w="85" w:type="dxa"/>
        <w:left w:w="113" w:type="dxa"/>
        <w:bottom w:w="85" w:type="dxa"/>
        <w:right w:w="113" w:type="dxa"/>
      </w:tblCellMar>
    </w:tblPr>
    <w:trPr>
      <w:cantSplit/>
    </w:trPr>
    <w:tcPr>
      <w:shd w:val="clear" w:color="auto" w:fill="auto"/>
      <w:tcMar>
        <w:top w:w="28" w:type="dxa"/>
        <w:left w:w="28" w:type="dxa"/>
        <w:bottom w:w="28" w:type="dxa"/>
        <w:right w:w="28" w:type="dxa"/>
      </w:tcMar>
    </w:tcPr>
    <w:tblStylePr w:type="firstRow">
      <w:pPr>
        <w:wordWrap/>
        <w:spacing w:before="0" w:beforeLines="0" w:beforeAutospacing="0" w:after="0" w:afterLines="0" w:afterAutospacing="0" w:line="240" w:lineRule="auto"/>
      </w:pPr>
      <w:rPr>
        <w:rFonts w:ascii="Arial" w:hAnsi="Arial"/>
        <w:b/>
        <w:sz w:val="18"/>
      </w:rPr>
      <w:tblPr>
        <w:tblCellMar>
          <w:top w:w="85" w:type="dxa"/>
          <w:left w:w="28" w:type="dxa"/>
          <w:bottom w:w="85" w:type="dxa"/>
          <w:right w:w="28" w:type="dxa"/>
        </w:tblCellMar>
      </w:tblPr>
      <w:trPr>
        <w:cantSplit w:val="0"/>
        <w:tblHeader/>
      </w:trPr>
      <w:tcPr>
        <w:tcMar>
          <w:top w:w="0" w:type="nil"/>
          <w:left w:w="28" w:type="dxa"/>
          <w:bottom w:w="0" w:type="nil"/>
          <w:right w:w="28" w:type="dxa"/>
        </w:tcMa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band1Horz">
      <w:pPr>
        <w:wordWrap/>
      </w:pPr>
      <w:rPr>
        <w:rFonts w:ascii="Arial" w:hAnsi="Arial"/>
        <w:sz w:val="18"/>
      </w:rPr>
      <w:tblPr/>
      <w:trPr>
        <w:cantSplit w:val="0"/>
      </w:trPr>
    </w:tblStylePr>
    <w:tblStylePr w:type="band2Horz">
      <w:tblPr/>
      <w:trPr>
        <w:cantSplit w:val="0"/>
      </w:trPr>
    </w:tblStylePr>
  </w:style>
  <w:style w:type="table" w:styleId="ChecklistTable" w:customStyle="1">
    <w:name w:val="ChecklistTable"/>
    <w:basedOn w:val="Merciagrid"/>
    <w:uiPriority w:val="99"/>
    <w:rsid w:val="004D6D5A"/>
    <w:pPr>
      <w:contextualSpacing/>
    </w:pPr>
    <w:tblPr/>
    <w:tcPr>
      <w:shd w:val="clear" w:color="auto" w:fill="auto"/>
    </w:tcPr>
    <w:tblStylePr w:type="firstRow">
      <w:pPr>
        <w:wordWrap/>
        <w:spacing w:before="100" w:beforeLines="0" w:beforeAutospacing="1" w:after="100" w:afterLines="0" w:afterAutospacing="1" w:line="240" w:lineRule="auto"/>
      </w:pPr>
      <w:rPr>
        <w:rFonts w:ascii="Arial" w:hAnsi="Arial"/>
        <w:b/>
        <w:sz w:val="18"/>
      </w:rPr>
      <w:tblPr>
        <w:tblCellMar>
          <w:top w:w="28" w:type="dxa"/>
          <w:left w:w="28" w:type="dxa"/>
          <w:bottom w:w="28" w:type="dxa"/>
          <w:right w:w="28" w:type="dxa"/>
        </w:tblCellMar>
      </w:tblPr>
      <w:trPr>
        <w:cantSplit w:val="0"/>
        <w:tblHeader/>
      </w:trPr>
      <w:tcPr>
        <w:tcMar>
          <w:top w:w="113" w:type="dxa"/>
          <w:left w:w="0" w:type="nil"/>
          <w:bottom w:w="113" w:type="dxa"/>
          <w:right w:w="0" w:type="nil"/>
        </w:tcMa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shd w:val="clear" w:color="auto" w:fill="FFFFFF" w:themeFill="background1"/>
      </w:tcPr>
    </w:tblStylePr>
    <w:tblStylePr w:type="band1Horz">
      <w:pPr>
        <w:wordWrap/>
      </w:pPr>
      <w:rPr>
        <w:rFonts w:ascii="Arial" w:hAnsi="Arial"/>
        <w:sz w:val="18"/>
      </w:rPr>
      <w:tblPr/>
      <w:trPr>
        <w:cantSplit w:val="0"/>
      </w:trPr>
      <w:tcPr>
        <w:shd w:val="clear" w:color="auto" w:fill="auto"/>
      </w:tcPr>
    </w:tblStylePr>
    <w:tblStylePr w:type="band2Horz">
      <w:tblPr/>
      <w:trPr>
        <w:cantSplit w:val="0"/>
      </w:trPr>
    </w:tblStylePr>
  </w:style>
  <w:style w:type="character" w:styleId="BookTitle">
    <w:name w:val="Book Title"/>
    <w:basedOn w:val="DefaultParagraphFont"/>
    <w:uiPriority w:val="33"/>
    <w:rsid w:val="00CC5DF9"/>
    <w:rPr>
      <w:b/>
      <w:bCs/>
      <w:smallCaps/>
      <w:spacing w:val="5"/>
    </w:rPr>
  </w:style>
  <w:style w:type="paragraph" w:styleId="Objective" w:customStyle="1">
    <w:name w:val="Objective"/>
    <w:basedOn w:val="Normal"/>
    <w:qFormat/>
    <w:rsid w:val="00494D0A"/>
    <w:pPr>
      <w:pBdr>
        <w:top w:val="single" w:color="FFFFFF" w:themeColor="background1" w:sz="2" w:space="6"/>
        <w:left w:val="single" w:color="auto" w:sz="24" w:space="4"/>
        <w:bottom w:val="single" w:color="FFFFFF" w:themeColor="background1" w:sz="2" w:space="6"/>
      </w:pBdr>
      <w:shd w:val="clear" w:color="auto" w:fill="EBE9E9"/>
      <w:snapToGrid w:val="0"/>
      <w:spacing w:before="60"/>
      <w:ind w:left="142"/>
    </w:pPr>
    <w:rPr>
      <w:spacing w:val="4"/>
      <w:sz w:val="20"/>
    </w:rPr>
  </w:style>
  <w:style w:type="paragraph" w:styleId="Guidance" w:customStyle="1">
    <w:name w:val="Guidance"/>
    <w:basedOn w:val="Normal"/>
    <w:link w:val="GuidanceChar"/>
    <w:qFormat/>
    <w:rsid w:val="00754552"/>
    <w:pPr>
      <w:keepNext/>
      <w:shd w:val="clear" w:color="auto" w:fill="EBE9E9"/>
      <w:spacing w:before="120" w:line="240" w:lineRule="auto"/>
    </w:pPr>
    <w:rPr>
      <w:i/>
      <w:sz w:val="14"/>
    </w:rPr>
  </w:style>
  <w:style w:type="table" w:styleId="TableClassic1">
    <w:name w:val="Table Classic 1"/>
    <w:basedOn w:val="TableNormal"/>
    <w:rsid w:val="0084091D"/>
    <w:pPr>
      <w:spacing w:after="120"/>
    </w:pPr>
    <w:rPr>
      <w:rFonts w:ascii="Arial" w:hAnsi="Arial"/>
    </w:rPr>
    <w:tblPr/>
    <w:trPr>
      <w:tblHeader/>
    </w:trPr>
    <w:tcPr>
      <w:shd w:val="clear" w:color="auto" w:fill="auto"/>
    </w:tcPr>
    <w:tblStylePr w:type="firstRow">
      <w:rPr>
        <w:i w:val="0"/>
        <w:iCs/>
      </w:rPr>
      <w:tblPr/>
      <w:tcPr>
        <w:tcBorders>
          <w:bottom w:val="single" w:color="000000" w:sz="6" w:space="0"/>
        </w:tcBorders>
        <w:shd w:val="clear" w:color="auto" w:fill="auto"/>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84091D"/>
    <w:pPr>
      <w:spacing w:after="120"/>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Columar" w:customStyle="1">
    <w:name w:val="Columar"/>
    <w:basedOn w:val="TableNormal"/>
    <w:uiPriority w:val="99"/>
    <w:rsid w:val="006F375C"/>
    <w:rPr>
      <w:rFonts w:ascii="Arial" w:hAnsi="Arial"/>
      <w:sz w:val="16"/>
    </w:rPr>
    <w:tblPr>
      <w:tblStyleRowBandSize w:val="1"/>
      <w:tblBorders>
        <w:insideV w:val="single" w:color="000000" w:sz="12" w:space="0"/>
      </w:tblBorders>
    </w:tblPr>
    <w:trPr>
      <w:cantSplit/>
    </w:trPr>
    <w:tblStylePr w:type="firstRow">
      <w:pPr>
        <w:keepNext/>
        <w:keepLines/>
        <w:wordWrap/>
        <w:spacing w:before="0" w:beforeLines="0" w:beforeAutospacing="0"/>
      </w:pPr>
      <w:tblPr/>
      <w:trPr>
        <w:cantSplit w:val="0"/>
        <w:tblHeader/>
      </w:trPr>
    </w:tblStylePr>
    <w:tblStylePr w:type="lastCol">
      <w:tblPr/>
      <w:trPr>
        <w:cantSplit w:val="0"/>
      </w:trPr>
    </w:tblStylePr>
  </w:style>
  <w:style w:type="character" w:styleId="Reference" w:customStyle="1">
    <w:name w:val="Reference"/>
    <w:basedOn w:val="DefaultParagraphFont"/>
    <w:uiPriority w:val="1"/>
    <w:qFormat/>
    <w:rsid w:val="001A14ED"/>
    <w:rPr>
      <w:sz w:val="16"/>
    </w:rPr>
  </w:style>
  <w:style w:type="paragraph" w:styleId="ListParagraph">
    <w:name w:val="List Paragraph"/>
    <w:basedOn w:val="Normal"/>
    <w:uiPriority w:val="34"/>
    <w:qFormat/>
    <w:rsid w:val="000D7665"/>
    <w:pPr>
      <w:keepLines w:val="0"/>
      <w:snapToGrid w:val="0"/>
      <w:spacing w:before="120" w:line="240" w:lineRule="auto"/>
      <w:contextualSpacing/>
    </w:pPr>
    <w:rPr>
      <w:rFonts w:cs="Arial" w:eastAsiaTheme="minorEastAsia"/>
      <w:szCs w:val="19"/>
      <w:lang w:val="en" w:eastAsia="zh-TW"/>
    </w:rPr>
  </w:style>
  <w:style w:type="character" w:styleId="Heading1Char" w:customStyle="1">
    <w:name w:val="Heading 1 Char"/>
    <w:basedOn w:val="DefaultParagraphFont"/>
    <w:link w:val="Heading1"/>
    <w:rsid w:val="00392EC3"/>
    <w:rPr>
      <w:rFonts w:ascii="Arial Bold" w:hAnsi="Arial Bold"/>
      <w:b/>
      <w:sz w:val="24"/>
      <w:lang w:eastAsia="en-US"/>
    </w:rPr>
  </w:style>
  <w:style w:type="paragraph" w:styleId="ListNumber">
    <w:name w:val="List Number"/>
    <w:basedOn w:val="Normal"/>
    <w:autoRedefine/>
    <w:rsid w:val="00E27FCA"/>
    <w:pPr>
      <w:numPr>
        <w:numId w:val="10"/>
      </w:numPr>
      <w:ind w:left="1134" w:hanging="567"/>
      <w:contextualSpacing/>
    </w:pPr>
  </w:style>
  <w:style w:type="paragraph" w:styleId="NormalWeb">
    <w:name w:val="Normal (Web)"/>
    <w:basedOn w:val="Normal"/>
    <w:rsid w:val="007B5BC7"/>
    <w:rPr>
      <w:rFonts w:ascii="Times New Roman" w:hAnsi="Times New Roman"/>
      <w:sz w:val="24"/>
      <w:szCs w:val="24"/>
    </w:rPr>
  </w:style>
  <w:style w:type="table" w:styleId="LayoutTable" w:customStyle="1">
    <w:name w:val="LayoutTable"/>
    <w:basedOn w:val="Columar"/>
    <w:uiPriority w:val="99"/>
    <w:rsid w:val="009B47B0"/>
    <w:tblPr>
      <w:tblBorders>
        <w:insideV w:val="none" w:color="auto" w:sz="0" w:space="0"/>
      </w:tblBorders>
    </w:tblPr>
    <w:trPr>
      <w:cantSplit w:val="0"/>
    </w:trPr>
    <w:tblStylePr w:type="firstRow">
      <w:pPr>
        <w:keepNext/>
        <w:keepLines/>
        <w:wordWrap/>
        <w:spacing w:before="0" w:beforeLines="0" w:beforeAutospacing="0"/>
      </w:pPr>
      <w:tblPr/>
      <w:trPr>
        <w:cantSplit w:val="0"/>
        <w:tblHeader/>
      </w:trPr>
    </w:tblStylePr>
    <w:tblStylePr w:type="lastCol">
      <w:tblPr/>
      <w:trPr>
        <w:cantSplit w:val="0"/>
      </w:trPr>
    </w:tblStylePr>
  </w:style>
  <w:style w:type="character" w:styleId="Italic" w:customStyle="1">
    <w:name w:val="Italic"/>
    <w:basedOn w:val="DefaultParagraphFont"/>
    <w:uiPriority w:val="1"/>
    <w:rsid w:val="00020B7A"/>
    <w:rPr>
      <w:i/>
    </w:rPr>
  </w:style>
  <w:style w:type="character" w:styleId="Emphasis">
    <w:name w:val="Emphasis"/>
    <w:basedOn w:val="DefaultParagraphFont"/>
    <w:qFormat/>
    <w:rsid w:val="000555B5"/>
    <w:rPr>
      <w:rFonts w:ascii="Arial" w:hAnsi="Arial"/>
      <w:i/>
      <w:iCs/>
    </w:rPr>
  </w:style>
  <w:style w:type="character" w:styleId="GuidanceChar" w:customStyle="1">
    <w:name w:val="Guidance Char"/>
    <w:basedOn w:val="DefaultParagraphFont"/>
    <w:link w:val="Guidance"/>
    <w:rsid w:val="00754552"/>
    <w:rPr>
      <w:rFonts w:ascii="Arial" w:hAnsi="Arial"/>
      <w:i/>
      <w:spacing w:val="-6"/>
      <w:sz w:val="14"/>
      <w:shd w:val="clear" w:color="auto" w:fill="EBE9E9"/>
      <w:lang w:eastAsia="en-US"/>
    </w:rPr>
  </w:style>
  <w:style w:type="paragraph" w:styleId="Center" w:customStyle="1">
    <w:name w:val="Center"/>
    <w:basedOn w:val="Normal"/>
    <w:qFormat/>
    <w:rsid w:val="005A3ABE"/>
    <w:pPr>
      <w:jc w:val="center"/>
    </w:pPr>
  </w:style>
  <w:style w:type="table" w:styleId="MerciagridNoHeadings" w:customStyle="1">
    <w:name w:val="MerciagridNoHeadings"/>
    <w:basedOn w:val="table"/>
    <w:uiPriority w:val="99"/>
    <w:rsid w:val="002239BF"/>
    <w:tblPr/>
    <w:tblStylePr w:type="firstRow">
      <w:pPr>
        <w:wordWrap/>
        <w:spacing w:before="0" w:beforeLines="0" w:beforeAutospacing="0" w:after="0" w:afterLines="0" w:afterAutospacing="0" w:line="240" w:lineRule="auto"/>
      </w:pPr>
      <w:rPr>
        <w:rFonts w:ascii="Arial" w:hAnsi="Arial"/>
        <w:b w:val="0"/>
      </w:rPr>
      <w:tblPr/>
      <w:tcP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band1Horz">
      <w:pPr>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84581">
      <w:bodyDiv w:val="1"/>
      <w:marLeft w:val="0"/>
      <w:marRight w:val="0"/>
      <w:marTop w:val="0"/>
      <w:marBottom w:val="0"/>
      <w:divBdr>
        <w:top w:val="none" w:sz="0" w:space="0" w:color="auto"/>
        <w:left w:val="none" w:sz="0" w:space="0" w:color="auto"/>
        <w:bottom w:val="none" w:sz="0" w:space="0" w:color="auto"/>
        <w:right w:val="none" w:sz="0" w:space="0" w:color="auto"/>
      </w:divBdr>
    </w:div>
    <w:div w:id="796919262">
      <w:bodyDiv w:val="1"/>
      <w:marLeft w:val="0"/>
      <w:marRight w:val="0"/>
      <w:marTop w:val="0"/>
      <w:marBottom w:val="0"/>
      <w:divBdr>
        <w:top w:val="none" w:sz="0" w:space="0" w:color="auto"/>
        <w:left w:val="none" w:sz="0" w:space="0" w:color="auto"/>
        <w:bottom w:val="none" w:sz="0" w:space="0" w:color="auto"/>
        <w:right w:val="none" w:sz="0" w:space="0" w:color="auto"/>
      </w:divBdr>
    </w:div>
    <w:div w:id="1567297728">
      <w:bodyDiv w:val="1"/>
      <w:marLeft w:val="0"/>
      <w:marRight w:val="0"/>
      <w:marTop w:val="0"/>
      <w:marBottom w:val="0"/>
      <w:divBdr>
        <w:top w:val="none" w:sz="0" w:space="0" w:color="auto"/>
        <w:left w:val="none" w:sz="0" w:space="0" w:color="auto"/>
        <w:bottom w:val="none" w:sz="0" w:space="0" w:color="auto"/>
        <w:right w:val="none" w:sz="0" w:space="0" w:color="auto"/>
      </w:divBdr>
    </w:div>
    <w:div w:id="1767921846">
      <w:bodyDiv w:val="1"/>
      <w:marLeft w:val="0"/>
      <w:marRight w:val="0"/>
      <w:marTop w:val="0"/>
      <w:marBottom w:val="0"/>
      <w:divBdr>
        <w:top w:val="none" w:sz="0" w:space="0" w:color="auto"/>
        <w:left w:val="none" w:sz="0" w:space="0" w:color="auto"/>
        <w:bottom w:val="none" w:sz="0" w:space="0" w:color="auto"/>
        <w:right w:val="none" w:sz="0" w:space="0" w:color="auto"/>
      </w:divBdr>
    </w:div>
    <w:div w:id="1841042774">
      <w:bodyDiv w:val="1"/>
      <w:marLeft w:val="0"/>
      <w:marRight w:val="0"/>
      <w:marTop w:val="0"/>
      <w:marBottom w:val="0"/>
      <w:divBdr>
        <w:top w:val="none" w:sz="0" w:space="0" w:color="auto"/>
        <w:left w:val="none" w:sz="0" w:space="0" w:color="auto"/>
        <w:bottom w:val="none" w:sz="0" w:space="0" w:color="auto"/>
        <w:right w:val="none" w:sz="0" w:space="0" w:color="auto"/>
      </w:divBdr>
    </w:div>
    <w:div w:id="192298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hyperlink" Target="https://www.mercia-group.com/support-overview/isqm/" TargetMode="External" Id="R02cc35bfb309437a" /><Relationship Type="http://schemas.openxmlformats.org/officeDocument/2006/relationships/footer" Target="/word/footer1.xml" Id="Footer99" /><Relationship Type="http://schemas.openxmlformats.org/officeDocument/2006/relationships/header" Target="/word/header1.xml" Id="Header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B68CC-0FA8-44A7-A6FD-13D076E93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2724</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2a A32 small (FRS 102 1A)</vt:lpstr>
    </vt:vector>
  </TitlesOfParts>
  <Company>Mercia Group Limited</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2a A32 small (FRS 102 1A)</dc:title>
  <dc:creator>Mercia</dc:creator>
  <cp:lastModifiedBy>Jamie Moore</cp:lastModifiedBy>
  <cp:revision>92</cp:revision>
  <cp:lastPrinted>2004-12-15T14:21:00Z</cp:lastPrinted>
  <dcterms:created xsi:type="dcterms:W3CDTF">2020-05-06T15:56:00Z</dcterms:created>
  <dcterms:modified xsi:type="dcterms:W3CDTF">2021-05-10T14:29:00Z</dcterms:modified>
</cp:coreProperties>
</file>